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C1" w:rsidRPr="00BA613F" w:rsidRDefault="00330EC1" w:rsidP="00BA613F">
      <w:pPr>
        <w:spacing w:line="360" w:lineRule="auto"/>
        <w:jc w:val="both"/>
        <w:rPr>
          <w:rFonts w:ascii="Times New Roman" w:hAnsi="Times New Roman" w:cs="Times New Roman"/>
          <w:b/>
          <w:bCs/>
          <w:sz w:val="24"/>
          <w:szCs w:val="24"/>
        </w:rPr>
      </w:pPr>
    </w:p>
    <w:p w:rsidR="00330EC1" w:rsidRPr="00BA613F" w:rsidRDefault="0099205B" w:rsidP="00BA613F">
      <w:pPr>
        <w:spacing w:line="360" w:lineRule="auto"/>
        <w:jc w:val="center"/>
        <w:rPr>
          <w:rFonts w:ascii="Times New Roman" w:hAnsi="Times New Roman" w:cs="Times New Roman"/>
          <w:b/>
          <w:bCs/>
          <w:sz w:val="28"/>
          <w:szCs w:val="28"/>
        </w:rPr>
      </w:pPr>
      <w:r w:rsidRPr="00BA613F">
        <w:rPr>
          <w:rFonts w:ascii="Times New Roman" w:hAnsi="Times New Roman" w:cs="Times New Roman"/>
          <w:b/>
          <w:bCs/>
          <w:sz w:val="28"/>
          <w:szCs w:val="28"/>
        </w:rPr>
        <w:t>AI vs Traditional Teaching: A Comparative Analysis Across Key Dimensions</w:t>
      </w:r>
    </w:p>
    <w:p w:rsidR="0099205B" w:rsidRDefault="00BA613F" w:rsidP="00BA613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*Shivani Chauhan</w:t>
      </w:r>
    </w:p>
    <w:p w:rsidR="00BA613F" w:rsidRPr="00BA613F" w:rsidRDefault="00BA613F" w:rsidP="00BA613F">
      <w:pPr>
        <w:spacing w:line="360" w:lineRule="auto"/>
        <w:jc w:val="center"/>
        <w:rPr>
          <w:rFonts w:ascii="Times New Roman" w:hAnsi="Times New Roman" w:cs="Times New Roman"/>
          <w:b/>
          <w:bCs/>
          <w:sz w:val="24"/>
          <w:szCs w:val="24"/>
        </w:rPr>
      </w:pPr>
    </w:p>
    <w:p w:rsidR="0099205B" w:rsidRPr="00BA613F" w:rsidRDefault="00BA613F" w:rsidP="00BA613F">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highlight w:val="lightGray"/>
        </w:rPr>
        <w:t>*</w:t>
      </w:r>
      <w:r w:rsidR="0099205B" w:rsidRPr="00BA613F">
        <w:rPr>
          <w:rFonts w:ascii="Times New Roman" w:hAnsi="Times New Roman" w:cs="Times New Roman"/>
          <w:b/>
          <w:bCs/>
          <w:sz w:val="24"/>
          <w:szCs w:val="24"/>
          <w:highlight w:val="lightGray"/>
        </w:rPr>
        <w:t>Abstract</w:t>
      </w:r>
    </w:p>
    <w:p w:rsidR="00BA613F" w:rsidRPr="00BA613F" w:rsidRDefault="0099205B" w:rsidP="00BA613F">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i/>
          <w:sz w:val="24"/>
          <w:szCs w:val="24"/>
        </w:rPr>
      </w:pPr>
      <w:r w:rsidRPr="00BA613F">
        <w:rPr>
          <w:rFonts w:ascii="Times New Roman" w:hAnsi="Times New Roman" w:cs="Times New Roman"/>
          <w:sz w:val="24"/>
          <w:szCs w:val="24"/>
        </w:rPr>
        <w:t xml:space="preserve">The rapid integration of Artificial Intelligence (AI) in education has sparked a global discourse on its potential to transform teaching and learning. This research article compares </w:t>
      </w:r>
      <w:r w:rsidRPr="00BA613F">
        <w:rPr>
          <w:rFonts w:ascii="Times New Roman" w:hAnsi="Times New Roman" w:cs="Times New Roman"/>
          <w:i/>
          <w:sz w:val="24"/>
          <w:szCs w:val="24"/>
        </w:rPr>
        <w:t>AI-based teaching with traditional classroom instruction across five key dimensions: personalization, engagement, feedback and assessment, accessibility and scalability, and human touch with soft skills. Through a literature-based analysis, the study highlights the distinct advantages of AI in delivering personalized, data-driven, and scalable education, while recognizing the irreplaceable value of traditional teaching in fostering emotional intelligence, social skills, and moral development. The findings suggest that neither approach is sufficient on its own; instead, a hybrid or blended model offers the most promising path forward. The article concludes by advocating for the strategic integration of AI into teacher-led environments to create inclusive, effective, and future-ready education systems.</w:t>
      </w:r>
    </w:p>
    <w:p w:rsidR="00BA613F" w:rsidRPr="00BA613F" w:rsidRDefault="00BA613F" w:rsidP="00BA613F">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i/>
          <w:sz w:val="24"/>
          <w:szCs w:val="24"/>
        </w:rPr>
      </w:pPr>
      <w:r w:rsidRPr="00BA613F">
        <w:rPr>
          <w:rFonts w:ascii="Times New Roman" w:hAnsi="Times New Roman" w:cs="Times New Roman"/>
          <w:b/>
          <w:bCs/>
          <w:i/>
          <w:sz w:val="24"/>
          <w:szCs w:val="24"/>
        </w:rPr>
        <w:t>Keywords:</w:t>
      </w:r>
      <w:r w:rsidR="0099205B" w:rsidRPr="00BA613F">
        <w:rPr>
          <w:rFonts w:ascii="Times New Roman" w:hAnsi="Times New Roman" w:cs="Times New Roman"/>
          <w:i/>
          <w:sz w:val="24"/>
          <w:szCs w:val="24"/>
        </w:rPr>
        <w:t xml:space="preserve"> </w:t>
      </w:r>
    </w:p>
    <w:p w:rsidR="0099205B" w:rsidRPr="00362B74" w:rsidRDefault="0099205B" w:rsidP="00BA613F">
      <w:pPr>
        <w:pBdr>
          <w:top w:val="single" w:sz="4" w:space="1" w:color="auto"/>
          <w:left w:val="single" w:sz="4" w:space="4" w:color="auto"/>
          <w:bottom w:val="single" w:sz="4" w:space="1" w:color="auto"/>
          <w:right w:val="single" w:sz="4" w:space="4" w:color="auto"/>
        </w:pBdr>
        <w:spacing w:line="360" w:lineRule="auto"/>
        <w:jc w:val="both"/>
        <w:rPr>
          <w:rFonts w:ascii="Times New Roman" w:hAnsi="Times New Roman" w:cs="Times New Roman"/>
          <w:i/>
          <w:sz w:val="24"/>
          <w:szCs w:val="24"/>
        </w:rPr>
      </w:pPr>
      <w:r w:rsidRPr="00BA613F">
        <w:rPr>
          <w:rFonts w:ascii="Times New Roman" w:hAnsi="Times New Roman" w:cs="Times New Roman"/>
          <w:i/>
          <w:sz w:val="24"/>
          <w:szCs w:val="24"/>
        </w:rPr>
        <w:t>Artificial Intelligence,</w:t>
      </w:r>
      <w:r w:rsidR="00BA613F" w:rsidRPr="00BA613F">
        <w:rPr>
          <w:rFonts w:ascii="Times New Roman" w:hAnsi="Times New Roman" w:cs="Times New Roman"/>
          <w:i/>
          <w:sz w:val="24"/>
          <w:szCs w:val="24"/>
        </w:rPr>
        <w:t xml:space="preserve"> </w:t>
      </w:r>
      <w:r w:rsidRPr="00BA613F">
        <w:rPr>
          <w:rFonts w:ascii="Times New Roman" w:hAnsi="Times New Roman" w:cs="Times New Roman"/>
          <w:i/>
          <w:sz w:val="24"/>
          <w:szCs w:val="24"/>
        </w:rPr>
        <w:t>Traditional Teaching, Personalization, Engagement, Feedback and Assessment, Accessibility and Scalability, Human Touch and Soft Skills, Hybrid Model, Blended Model.</w:t>
      </w:r>
    </w:p>
    <w:p w:rsidR="00362B74" w:rsidRDefault="00362B74" w:rsidP="00BA613F">
      <w:pPr>
        <w:spacing w:line="360" w:lineRule="auto"/>
        <w:jc w:val="both"/>
        <w:rPr>
          <w:rFonts w:ascii="Times New Roman" w:hAnsi="Times New Roman" w:cs="Times New Roman"/>
          <w:b/>
          <w:bCs/>
          <w:sz w:val="24"/>
          <w:szCs w:val="24"/>
        </w:rPr>
      </w:pP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Introduction</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 xml:space="preserve">The emergence of Artificial Intelligence (AI) in the field of education marks a paradigm shift from conventional teaching methodologies to data-driven, automated, and personalized learning experiences. While AI seeks to optimize learning through adaptive technologies, traditional teaching remains grounded in interpersonal communication, emotional </w:t>
      </w:r>
      <w:r w:rsidRPr="00BA613F">
        <w:rPr>
          <w:rFonts w:ascii="Times New Roman" w:hAnsi="Times New Roman" w:cs="Times New Roman"/>
          <w:sz w:val="24"/>
          <w:szCs w:val="24"/>
        </w:rPr>
        <w:lastRenderedPageBreak/>
        <w:t>intelligence, and social learning. Comparing AI and traditional teaching is not simply about contrasting old and new technologies but involves assessing how each approach addresses fundamental dimensions of the learning process.</w:t>
      </w:r>
    </w:p>
    <w:p w:rsidR="0099205B" w:rsidRPr="00BA613F" w:rsidRDefault="0099205B" w:rsidP="00BA613F">
      <w:pPr>
        <w:spacing w:line="360" w:lineRule="auto"/>
        <w:jc w:val="both"/>
        <w:rPr>
          <w:rFonts w:ascii="Times New Roman" w:hAnsi="Times New Roman" w:cs="Times New Roman"/>
          <w:sz w:val="24"/>
          <w:szCs w:val="24"/>
        </w:rPr>
      </w:pPr>
    </w:p>
    <w:p w:rsidR="0099205B"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This article aims to critically evaluate AI-based and traditional teaching methods by breaking down their impact across key dimensions: personalization, engagement, feedback and assessment, accessibility and scalability, and the development of soft skills through human interaction.</w:t>
      </w:r>
    </w:p>
    <w:p w:rsidR="0085495F" w:rsidRPr="00BA613F" w:rsidRDefault="0085495F" w:rsidP="00BA613F">
      <w:pPr>
        <w:spacing w:line="360" w:lineRule="auto"/>
        <w:jc w:val="both"/>
        <w:rPr>
          <w:rFonts w:ascii="Times New Roman" w:hAnsi="Times New Roman" w:cs="Times New Roman"/>
          <w:sz w:val="24"/>
          <w:szCs w:val="24"/>
        </w:rPr>
      </w:pPr>
    </w:p>
    <w:p w:rsidR="0099205B"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Significance of the Study</w:t>
      </w:r>
    </w:p>
    <w:p w:rsidR="0085495F" w:rsidRPr="00BA613F" w:rsidRDefault="0085495F" w:rsidP="00BA613F">
      <w:pPr>
        <w:spacing w:line="360" w:lineRule="auto"/>
        <w:jc w:val="both"/>
        <w:rPr>
          <w:rFonts w:ascii="Times New Roman" w:hAnsi="Times New Roman" w:cs="Times New Roman"/>
          <w:b/>
          <w:bCs/>
          <w:sz w:val="24"/>
          <w:szCs w:val="24"/>
        </w:rPr>
      </w:pP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This study holds significance for educational reform and curriculum planning in the digital age. As educational institutions increasingly integrate technology into classrooms, understanding the strengths and limitations of AI compared to traditional teaching is vital. The findings offer a foundation for designing blended learning models that prioritize learning efficiency without losing human values. The study is relevant for:</w:t>
      </w:r>
    </w:p>
    <w:p w:rsidR="0099205B" w:rsidRPr="00BA613F" w:rsidRDefault="0099205B" w:rsidP="00BA613F">
      <w:pPr>
        <w:pStyle w:val="ListParagraph"/>
        <w:numPr>
          <w:ilvl w:val="0"/>
          <w:numId w:val="1"/>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Teachers adapting to digital tools</w:t>
      </w:r>
    </w:p>
    <w:p w:rsidR="0099205B" w:rsidRPr="00BA613F" w:rsidRDefault="0099205B" w:rsidP="00BA613F">
      <w:pPr>
        <w:pStyle w:val="ListParagraph"/>
        <w:numPr>
          <w:ilvl w:val="0"/>
          <w:numId w:val="1"/>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Students navigating new learning environments</w:t>
      </w:r>
    </w:p>
    <w:p w:rsidR="0099205B" w:rsidRPr="00BA613F" w:rsidRDefault="0099205B" w:rsidP="00BA613F">
      <w:pPr>
        <w:pStyle w:val="ListParagraph"/>
        <w:numPr>
          <w:ilvl w:val="0"/>
          <w:numId w:val="1"/>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Policymakers deciding on investments in educational technology</w:t>
      </w:r>
    </w:p>
    <w:p w:rsidR="0099205B" w:rsidRPr="00BA613F" w:rsidRDefault="0099205B" w:rsidP="00BA613F">
      <w:pPr>
        <w:pStyle w:val="ListParagraph"/>
        <w:numPr>
          <w:ilvl w:val="0"/>
          <w:numId w:val="1"/>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Ed-tech developers designing human-centered AI solutions</w:t>
      </w: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Objectives of the Study</w:t>
      </w:r>
    </w:p>
    <w:p w:rsidR="0099205B" w:rsidRPr="00BA613F" w:rsidRDefault="0099205B" w:rsidP="00BA613F">
      <w:pPr>
        <w:pStyle w:val="ListParagraph"/>
        <w:numPr>
          <w:ilvl w:val="0"/>
          <w:numId w:val="2"/>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To examine how AI and traditional teaching differ in the context of modern education.</w:t>
      </w:r>
    </w:p>
    <w:p w:rsidR="0099205B" w:rsidRPr="00BA613F" w:rsidRDefault="0099205B" w:rsidP="00BA613F">
      <w:pPr>
        <w:pStyle w:val="ListParagraph"/>
        <w:numPr>
          <w:ilvl w:val="0"/>
          <w:numId w:val="2"/>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To compare both methods across five key pedagogical dimensions.</w:t>
      </w:r>
    </w:p>
    <w:p w:rsidR="0099205B" w:rsidRPr="00BA613F" w:rsidRDefault="0099205B" w:rsidP="00BA613F">
      <w:pPr>
        <w:pStyle w:val="ListParagraph"/>
        <w:numPr>
          <w:ilvl w:val="0"/>
          <w:numId w:val="2"/>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To evaluate the strengths and limitations of each approach.</w:t>
      </w:r>
    </w:p>
    <w:p w:rsidR="0099205B" w:rsidRPr="00BA613F" w:rsidRDefault="0099205B" w:rsidP="00BA613F">
      <w:pPr>
        <w:pStyle w:val="ListParagraph"/>
        <w:numPr>
          <w:ilvl w:val="0"/>
          <w:numId w:val="2"/>
        </w:num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To suggest a hybrid teaching model that leverages the advantages of both.</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lastRenderedPageBreak/>
        <w:t>Comparative Analysis Across Key Dimensions</w:t>
      </w:r>
    </w:p>
    <w:p w:rsidR="0099205B" w:rsidRPr="00BA613F" w:rsidRDefault="0099205B" w:rsidP="00BA613F">
      <w:pPr>
        <w:spacing w:line="360" w:lineRule="auto"/>
        <w:jc w:val="both"/>
        <w:rPr>
          <w:rFonts w:ascii="Times New Roman" w:hAnsi="Times New Roman" w:cs="Times New Roman"/>
          <w:b/>
          <w:bCs/>
          <w:sz w:val="24"/>
          <w:szCs w:val="24"/>
        </w:rPr>
      </w:pP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1. Personalization</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AI-Based Teaching:</w:t>
      </w:r>
      <w:r w:rsidRPr="00BA613F">
        <w:rPr>
          <w:rFonts w:ascii="Times New Roman" w:hAnsi="Times New Roman" w:cs="Times New Roman"/>
          <w:sz w:val="24"/>
          <w:szCs w:val="24"/>
        </w:rPr>
        <w:t>AI systems can analyze a student’s performance data to offer personalized learning paths, adaptive quizzes, and tailored content recommendations (Holmes et al., 2019). Tools like chatbots and intelligent tutoring systems help students learn at their own pace.</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Traditional Teaching:</w:t>
      </w:r>
      <w:r w:rsidRPr="00BA613F">
        <w:rPr>
          <w:rFonts w:ascii="Times New Roman" w:hAnsi="Times New Roman" w:cs="Times New Roman"/>
          <w:sz w:val="24"/>
          <w:szCs w:val="24"/>
        </w:rPr>
        <w:t xml:space="preserve"> While some personalization is possible through teacher intervention, traditional classrooms often follow a uniform pace, which may not address individual learning differences.</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 xml:space="preserve">  Advantage: AI</w:t>
      </w: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2. Engagement</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AI-Based Teaching:</w:t>
      </w:r>
      <w:r w:rsidRPr="00BA613F">
        <w:rPr>
          <w:rFonts w:ascii="Times New Roman" w:hAnsi="Times New Roman" w:cs="Times New Roman"/>
          <w:sz w:val="24"/>
          <w:szCs w:val="24"/>
        </w:rPr>
        <w:t xml:space="preserve"> Gamified platforms, virtual simulations, and AI-driven content (e.g., AR/VR) can make learning more interactive. However, these tools may lack emotional connection and sustained attention.</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Traditional Teaching:</w:t>
      </w:r>
      <w:r w:rsidRPr="00BA613F">
        <w:rPr>
          <w:rFonts w:ascii="Times New Roman" w:hAnsi="Times New Roman" w:cs="Times New Roman"/>
          <w:sz w:val="24"/>
          <w:szCs w:val="24"/>
        </w:rPr>
        <w:t xml:space="preserve"> Human teachers can inspire and emotionally connect with students, fostering intrinsic motivation and deeper engagement through storytelling, discussion, and classroom dynamics.</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 xml:space="preserve"> Advantage:</w:t>
      </w:r>
      <w:r w:rsidRPr="00BA613F">
        <w:rPr>
          <w:rFonts w:ascii="Times New Roman" w:hAnsi="Times New Roman" w:cs="Times New Roman"/>
          <w:sz w:val="24"/>
          <w:szCs w:val="24"/>
        </w:rPr>
        <w:t xml:space="preserve"> Traditional Teaching</w:t>
      </w: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3. Feedback and Assessment</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AI-Based Teaching:</w:t>
      </w:r>
      <w:r w:rsidRPr="00BA613F">
        <w:rPr>
          <w:rFonts w:ascii="Times New Roman" w:hAnsi="Times New Roman" w:cs="Times New Roman"/>
          <w:sz w:val="24"/>
          <w:szCs w:val="24"/>
        </w:rPr>
        <w:t xml:space="preserve"> AI tools offer instant, data-driven feedback through automated grading, performance dashboards, and predictive analytics. This improves learning efficiency and helps in real-time correction.</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lastRenderedPageBreak/>
        <w:t>Traditional Teaching</w:t>
      </w:r>
      <w:r w:rsidRPr="00BA613F">
        <w:rPr>
          <w:rFonts w:ascii="Times New Roman" w:hAnsi="Times New Roman" w:cs="Times New Roman"/>
          <w:sz w:val="24"/>
          <w:szCs w:val="24"/>
        </w:rPr>
        <w:t>: Feedback is more personalized but often delayed. Human teachers can provide qualitative insights that go beyond objective scoring.</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Advantage: Tie — AI for speed and precision; Traditional for qualitative feedback</w:t>
      </w:r>
    </w:p>
    <w:p w:rsidR="0099205B"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4. Accessibility and Scalability</w:t>
      </w:r>
    </w:p>
    <w:p w:rsidR="0085495F" w:rsidRPr="00BA613F" w:rsidRDefault="0085495F" w:rsidP="00BA613F">
      <w:pPr>
        <w:spacing w:line="360" w:lineRule="auto"/>
        <w:jc w:val="both"/>
        <w:rPr>
          <w:rFonts w:ascii="Times New Roman" w:hAnsi="Times New Roman" w:cs="Times New Roman"/>
          <w:b/>
          <w:bCs/>
          <w:sz w:val="24"/>
          <w:szCs w:val="24"/>
        </w:rPr>
      </w:pP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AI-Based Teaching:</w:t>
      </w:r>
      <w:r w:rsidRPr="00BA613F">
        <w:rPr>
          <w:rFonts w:ascii="Times New Roman" w:hAnsi="Times New Roman" w:cs="Times New Roman"/>
          <w:sz w:val="24"/>
          <w:szCs w:val="24"/>
        </w:rPr>
        <w:t xml:space="preserve"> AI can democratize education by offering learning platforms accessible anytime, anywhere. It enables large-scale education delivery, especially in remote and underserved regions.</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Traditional Teaching:</w:t>
      </w:r>
      <w:r w:rsidRPr="00BA613F">
        <w:rPr>
          <w:rFonts w:ascii="Times New Roman" w:hAnsi="Times New Roman" w:cs="Times New Roman"/>
          <w:sz w:val="24"/>
          <w:szCs w:val="24"/>
        </w:rPr>
        <w:t xml:space="preserve"> Face-to-face interaction is limited by time, space, and availability of trained educators, making it harder to scale without significant resources.</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BA613F" w:rsidP="00BA61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205B" w:rsidRPr="00BA613F">
        <w:rPr>
          <w:rFonts w:ascii="Times New Roman" w:hAnsi="Times New Roman" w:cs="Times New Roman"/>
          <w:sz w:val="24"/>
          <w:szCs w:val="24"/>
        </w:rPr>
        <w:t>Advantage: AI</w:t>
      </w: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5. Human Touch and Soft Skills</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AI-Based Teaching:</w:t>
      </w:r>
      <w:r w:rsidRPr="00BA613F">
        <w:rPr>
          <w:rFonts w:ascii="Times New Roman" w:hAnsi="Times New Roman" w:cs="Times New Roman"/>
          <w:sz w:val="24"/>
          <w:szCs w:val="24"/>
        </w:rPr>
        <w:t xml:space="preserve"> Lacks emotional intelligence, empathy, and moral reasoning. AI cannot replace mentorship, empathy, or classroom relationships essential for developing soft skills.</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b/>
          <w:bCs/>
          <w:sz w:val="24"/>
          <w:szCs w:val="24"/>
        </w:rPr>
        <w:t>Traditional Teaching:</w:t>
      </w:r>
      <w:r w:rsidRPr="00BA613F">
        <w:rPr>
          <w:rFonts w:ascii="Times New Roman" w:hAnsi="Times New Roman" w:cs="Times New Roman"/>
          <w:sz w:val="24"/>
          <w:szCs w:val="24"/>
        </w:rPr>
        <w:t xml:space="preserve"> Teachers serve as role models, mentors, and facilitators for emotional and moral development. They help students learn communication, collaboration, and ethics.</w:t>
      </w:r>
    </w:p>
    <w:p w:rsidR="00BA613F" w:rsidRDefault="00BA613F" w:rsidP="00BA613F">
      <w:pPr>
        <w:spacing w:line="360" w:lineRule="auto"/>
        <w:jc w:val="both"/>
        <w:rPr>
          <w:rFonts w:ascii="Times New Roman" w:hAnsi="Times New Roman" w:cs="Times New Roman"/>
          <w:sz w:val="24"/>
          <w:szCs w:val="24"/>
        </w:rPr>
      </w:pPr>
    </w:p>
    <w:p w:rsidR="0099205B" w:rsidRPr="00BA613F" w:rsidRDefault="00BA613F" w:rsidP="00BA613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9205B" w:rsidRPr="00BA613F">
        <w:rPr>
          <w:rFonts w:ascii="Times New Roman" w:hAnsi="Times New Roman" w:cs="Times New Roman"/>
          <w:sz w:val="24"/>
          <w:szCs w:val="24"/>
        </w:rPr>
        <w:t>Advantage: Traditional Teaching</w:t>
      </w: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Conclusion</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 xml:space="preserve">AI and traditional teaching serve different but complementary functions in the educational ecosystem. AI excels in areas like personalization, instant feedback, and scalable learning, whereas traditional teaching is unparalleled in nurturing emotional intelligence, social skills, and human connection. The most effective educational models moving forward are blended or hybrid, where technology supports but does not replace the educator. By strategically integrating AI tools into teacher-led classrooms, we can create a more inclusive, efficient, and </w:t>
      </w:r>
      <w:r w:rsidRPr="00BA613F">
        <w:rPr>
          <w:rFonts w:ascii="Times New Roman" w:hAnsi="Times New Roman" w:cs="Times New Roman"/>
          <w:sz w:val="24"/>
          <w:szCs w:val="24"/>
        </w:rPr>
        <w:lastRenderedPageBreak/>
        <w:t xml:space="preserve">empathetic learning environment. Blended or hybrid classroom will led to the effective strategy to enhance the inclusivity in the classroom. Teaching and Learning will take in the efficient manner which will enhance the capacity of both learners and teachers. Blending both the AI and traditional learning helps in </w:t>
      </w:r>
      <w:r w:rsidR="00330EC1" w:rsidRPr="00BA613F">
        <w:rPr>
          <w:rFonts w:ascii="Times New Roman" w:hAnsi="Times New Roman" w:cs="Times New Roman"/>
          <w:sz w:val="24"/>
          <w:szCs w:val="24"/>
        </w:rPr>
        <w:t xml:space="preserve">having more access of the education in every part of the world. Students will be able to have more diversified knowledge and Teaching-Learning Materials to enhance their knowledge. Feedback and assessment can easily be done through face to face interaction and also through organizing Online meetings with the parents. Students can give their feedback in most compatible way. Blended method of teaching and learning enhance the engagement as teachers can connect to their students through different modes. Hence, we can conclude that blended or hybrid mode can be the effective way to enhance the learning and to make the education accessible to all the diverse learners. </w:t>
      </w:r>
    </w:p>
    <w:p w:rsidR="0099205B" w:rsidRPr="00BA613F" w:rsidRDefault="0099205B" w:rsidP="00BA613F">
      <w:pPr>
        <w:spacing w:line="360" w:lineRule="auto"/>
        <w:jc w:val="both"/>
        <w:rPr>
          <w:rFonts w:ascii="Times New Roman" w:hAnsi="Times New Roman" w:cs="Times New Roman"/>
          <w:b/>
          <w:bCs/>
          <w:sz w:val="24"/>
          <w:szCs w:val="24"/>
        </w:rPr>
      </w:pPr>
    </w:p>
    <w:p w:rsidR="0099205B" w:rsidRPr="00BA613F" w:rsidRDefault="0099205B" w:rsidP="00BA613F">
      <w:pPr>
        <w:spacing w:line="360" w:lineRule="auto"/>
        <w:jc w:val="both"/>
        <w:rPr>
          <w:rFonts w:ascii="Times New Roman" w:hAnsi="Times New Roman" w:cs="Times New Roman"/>
          <w:b/>
          <w:bCs/>
          <w:sz w:val="24"/>
          <w:szCs w:val="24"/>
        </w:rPr>
      </w:pPr>
      <w:r w:rsidRPr="00BA613F">
        <w:rPr>
          <w:rFonts w:ascii="Times New Roman" w:hAnsi="Times New Roman" w:cs="Times New Roman"/>
          <w:b/>
          <w:bCs/>
          <w:sz w:val="24"/>
          <w:szCs w:val="24"/>
        </w:rPr>
        <w:t>References</w:t>
      </w: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Graham, C. R. (2006). Blended learning systems: Definition, current trends, and future directions. In C. J. Bonk &amp; C. R. Graham (Eds.), The handbook of blended learning: Global perspectives, local designs (pp. 3–21). Pfeiffer Publishing.</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Holmes, W., Bialik, M., &amp; Fadel, C. (2019). Artificial Intelligence in Education: Promises and Implications for Teaching and Learning. Center for Curriculum Redesign.</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Luckin, R., Holmes, W., Griffiths, M., &amp; Forcier, L. B. (2016). Intelligence Unleashed: An Argument for AI in Education. Pearson Education.</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Noddings, N. (2005). The challenge to care in schools: An alternative approach to education (2nd ed.). Teachers College Press.</w:t>
      </w:r>
    </w:p>
    <w:p w:rsidR="0099205B" w:rsidRPr="00BA613F" w:rsidRDefault="0099205B" w:rsidP="00BA613F">
      <w:pPr>
        <w:spacing w:line="360" w:lineRule="auto"/>
        <w:jc w:val="both"/>
        <w:rPr>
          <w:rFonts w:ascii="Times New Roman" w:hAnsi="Times New Roman" w:cs="Times New Roman"/>
          <w:sz w:val="24"/>
          <w:szCs w:val="24"/>
        </w:rPr>
      </w:pPr>
    </w:p>
    <w:p w:rsidR="0099205B"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lastRenderedPageBreak/>
        <w:t>Singh, A., &amp; Rajput, S. (2022). Traditional teaching vs. AI-based instruction: A comparative study. Indian Journal of Education and Psychology, 12(2), 89–98.</w:t>
      </w:r>
    </w:p>
    <w:p w:rsidR="0099205B" w:rsidRPr="00BA613F" w:rsidRDefault="0099205B" w:rsidP="00BA613F">
      <w:pPr>
        <w:spacing w:line="360" w:lineRule="auto"/>
        <w:jc w:val="both"/>
        <w:rPr>
          <w:rFonts w:ascii="Times New Roman" w:hAnsi="Times New Roman" w:cs="Times New Roman"/>
          <w:sz w:val="24"/>
          <w:szCs w:val="24"/>
        </w:rPr>
      </w:pPr>
    </w:p>
    <w:p w:rsidR="004F3FC3" w:rsidRPr="00BA613F" w:rsidRDefault="0099205B" w:rsidP="00BA613F">
      <w:pPr>
        <w:spacing w:line="360" w:lineRule="auto"/>
        <w:jc w:val="both"/>
        <w:rPr>
          <w:rFonts w:ascii="Times New Roman" w:hAnsi="Times New Roman" w:cs="Times New Roman"/>
          <w:sz w:val="24"/>
          <w:szCs w:val="24"/>
        </w:rPr>
      </w:pPr>
      <w:r w:rsidRPr="00BA613F">
        <w:rPr>
          <w:rFonts w:ascii="Times New Roman" w:hAnsi="Times New Roman" w:cs="Times New Roman"/>
          <w:sz w:val="24"/>
          <w:szCs w:val="24"/>
        </w:rPr>
        <w:t>UNESCO. (2023). Artificial Intelligence and the Futures of Learning. https://unesdoc.unesco.org/ark:/48223/pf0000382166</w:t>
      </w:r>
    </w:p>
    <w:sectPr w:rsidR="004F3FC3" w:rsidRPr="00BA613F" w:rsidSect="00BC0481">
      <w:headerReference w:type="default" r:id="rId7"/>
      <w:footerReference w:type="default" r:id="rId8"/>
      <w:pgSz w:w="11906" w:h="16838"/>
      <w:pgMar w:top="1440" w:right="1440" w:bottom="1440" w:left="1440" w:header="708" w:footer="1152" w:gutter="0"/>
      <w:pgBorders w:offsetFrom="page">
        <w:top w:val="single" w:sz="4" w:space="24" w:color="auto"/>
        <w:left w:val="single" w:sz="4" w:space="24" w:color="auto"/>
        <w:bottom w:val="single" w:sz="4" w:space="24" w:color="auto"/>
        <w:right w:val="single" w:sz="4" w:space="24" w:color="auto"/>
      </w:pgBorders>
      <w:pgNumType w:start="58"/>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0920" w:rsidRDefault="00100920" w:rsidP="00BA613F">
      <w:pPr>
        <w:spacing w:after="0" w:line="240" w:lineRule="auto"/>
      </w:pPr>
      <w:r>
        <w:separator/>
      </w:r>
    </w:p>
  </w:endnote>
  <w:endnote w:type="continuationSeparator" w:id="1">
    <w:p w:rsidR="00100920" w:rsidRDefault="00100920" w:rsidP="00BA61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13F" w:rsidRPr="00362B74" w:rsidRDefault="00BA613F">
    <w:pPr>
      <w:pStyle w:val="Footer"/>
      <w:pBdr>
        <w:top w:val="thinThickSmallGap" w:sz="24" w:space="1" w:color="823B0B" w:themeColor="accent2" w:themeShade="7F"/>
      </w:pBdr>
      <w:rPr>
        <w:rFonts w:asciiTheme="majorHAnsi" w:hAnsiTheme="majorHAnsi"/>
        <w:sz w:val="24"/>
        <w:szCs w:val="24"/>
      </w:rPr>
    </w:pPr>
    <w:r w:rsidRPr="00362B74">
      <w:rPr>
        <w:rFonts w:asciiTheme="majorHAnsi" w:hAnsiTheme="majorHAnsi"/>
        <w:sz w:val="24"/>
        <w:szCs w:val="24"/>
      </w:rPr>
      <w:t>*Assistant Professor, Ganga Institute of Education, Kablana</w:t>
    </w:r>
    <w:r w:rsidRPr="00362B74">
      <w:rPr>
        <w:rFonts w:asciiTheme="majorHAnsi" w:hAnsiTheme="majorHAnsi"/>
        <w:sz w:val="24"/>
        <w:szCs w:val="24"/>
      </w:rPr>
      <w:ptab w:relativeTo="margin" w:alignment="right" w:leader="none"/>
    </w:r>
    <w:r w:rsidRPr="00362B74">
      <w:rPr>
        <w:rFonts w:asciiTheme="majorHAnsi" w:hAnsiTheme="majorHAnsi"/>
        <w:sz w:val="24"/>
        <w:szCs w:val="24"/>
      </w:rPr>
      <w:t xml:space="preserve">Page </w:t>
    </w:r>
    <w:r w:rsidR="00125B7C" w:rsidRPr="00362B74">
      <w:rPr>
        <w:sz w:val="24"/>
        <w:szCs w:val="24"/>
      </w:rPr>
      <w:fldChar w:fldCharType="begin"/>
    </w:r>
    <w:r w:rsidRPr="00362B74">
      <w:rPr>
        <w:sz w:val="24"/>
        <w:szCs w:val="24"/>
      </w:rPr>
      <w:instrText xml:space="preserve"> PAGE   \* MERGEFORMAT </w:instrText>
    </w:r>
    <w:r w:rsidR="00125B7C" w:rsidRPr="00362B74">
      <w:rPr>
        <w:sz w:val="24"/>
        <w:szCs w:val="24"/>
      </w:rPr>
      <w:fldChar w:fldCharType="separate"/>
    </w:r>
    <w:r w:rsidR="00362B74" w:rsidRPr="00362B74">
      <w:rPr>
        <w:rFonts w:asciiTheme="majorHAnsi" w:hAnsiTheme="majorHAnsi"/>
        <w:noProof/>
        <w:sz w:val="24"/>
        <w:szCs w:val="24"/>
      </w:rPr>
      <w:t>63</w:t>
    </w:r>
    <w:r w:rsidR="00125B7C" w:rsidRPr="00362B74">
      <w:rPr>
        <w:sz w:val="24"/>
        <w:szCs w:val="24"/>
      </w:rPr>
      <w:fldChar w:fldCharType="end"/>
    </w:r>
  </w:p>
  <w:p w:rsidR="00BA613F" w:rsidRPr="00362B74" w:rsidRDefault="00BA613F">
    <w:pPr>
      <w:pStyle w:val="Footer"/>
      <w:rPr>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0920" w:rsidRDefault="00100920" w:rsidP="00BA613F">
      <w:pPr>
        <w:spacing w:after="0" w:line="240" w:lineRule="auto"/>
      </w:pPr>
      <w:r>
        <w:separator/>
      </w:r>
    </w:p>
  </w:footnote>
  <w:footnote w:type="continuationSeparator" w:id="1">
    <w:p w:rsidR="00100920" w:rsidRDefault="00100920" w:rsidP="00BA61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13F" w:rsidRPr="007C7BD9" w:rsidRDefault="00BA613F" w:rsidP="00BA613F">
    <w:pPr>
      <w:pStyle w:val="NoSpacing"/>
      <w:jc w:val="right"/>
      <w:rPr>
        <w:rFonts w:ascii="Times New Roman" w:hAnsi="Times New Roman" w:cs="Times New Roman"/>
        <w:sz w:val="24"/>
        <w:szCs w:val="24"/>
      </w:rPr>
    </w:pPr>
    <w:r w:rsidRPr="007C7BD9">
      <w:rPr>
        <w:rFonts w:ascii="Times New Roman" w:hAnsi="Times New Roman" w:cs="Times New Roman"/>
        <w:sz w:val="24"/>
        <w:szCs w:val="24"/>
      </w:rPr>
      <w:t xml:space="preserve">Volume 14, Issue III, June 2025, ISSN: 2277-1255  </w:t>
    </w:r>
  </w:p>
  <w:p w:rsidR="00BA613F" w:rsidRPr="007C7BD9" w:rsidRDefault="00BA613F" w:rsidP="00BA613F">
    <w:pPr>
      <w:pStyle w:val="NoSpacing"/>
      <w:jc w:val="right"/>
      <w:rPr>
        <w:rFonts w:ascii="Times New Roman" w:hAnsi="Times New Roman" w:cs="Times New Roman"/>
        <w:sz w:val="24"/>
        <w:szCs w:val="24"/>
      </w:rPr>
    </w:pPr>
    <w:r w:rsidRPr="007C7BD9">
      <w:rPr>
        <w:rFonts w:ascii="Times New Roman" w:hAnsi="Times New Roman" w:cs="Times New Roman"/>
        <w:sz w:val="24"/>
        <w:szCs w:val="24"/>
      </w:rPr>
      <w:t xml:space="preserve">BHARTIYAM INTERNATIONAL JOURNAL OF EDUCATION &amp; RESEARCH  </w:t>
    </w:r>
  </w:p>
  <w:p w:rsidR="00BA613F" w:rsidRPr="007C7BD9" w:rsidRDefault="00BA613F" w:rsidP="00BA613F">
    <w:pPr>
      <w:pStyle w:val="NoSpacing"/>
      <w:jc w:val="right"/>
      <w:rPr>
        <w:rFonts w:ascii="Times New Roman" w:hAnsi="Times New Roman" w:cs="Times New Roman"/>
        <w:sz w:val="24"/>
        <w:szCs w:val="24"/>
      </w:rPr>
    </w:pPr>
    <w:r w:rsidRPr="007C7BD9">
      <w:rPr>
        <w:rFonts w:ascii="Times New Roman" w:hAnsi="Times New Roman" w:cs="Times New Roman"/>
        <w:sz w:val="24"/>
        <w:szCs w:val="24"/>
      </w:rPr>
      <w:t>A quarterly peer reviewed International Journal of Research &amp; Education</w:t>
    </w:r>
  </w:p>
  <w:p w:rsidR="00BA613F" w:rsidRPr="001E366A" w:rsidRDefault="00BA613F" w:rsidP="00BA613F">
    <w:pPr>
      <w:pStyle w:val="Header"/>
    </w:pPr>
  </w:p>
  <w:p w:rsidR="00BA613F" w:rsidRPr="00BA613F" w:rsidRDefault="00BA613F" w:rsidP="00BA613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A3565"/>
    <w:multiLevelType w:val="hybridMultilevel"/>
    <w:tmpl w:val="25688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B840C6"/>
    <w:multiLevelType w:val="hybridMultilevel"/>
    <w:tmpl w:val="75328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rsids>
    <w:rsidRoot w:val="0099205B"/>
    <w:rsid w:val="000945CE"/>
    <w:rsid w:val="00100920"/>
    <w:rsid w:val="00125B7C"/>
    <w:rsid w:val="002A598C"/>
    <w:rsid w:val="00330EC1"/>
    <w:rsid w:val="00362B74"/>
    <w:rsid w:val="004B41E6"/>
    <w:rsid w:val="004F3FC3"/>
    <w:rsid w:val="00573153"/>
    <w:rsid w:val="0085495F"/>
    <w:rsid w:val="00887E32"/>
    <w:rsid w:val="008E3159"/>
    <w:rsid w:val="0099205B"/>
    <w:rsid w:val="00A550A4"/>
    <w:rsid w:val="00AF5F0D"/>
    <w:rsid w:val="00BA613F"/>
    <w:rsid w:val="00BC0481"/>
    <w:rsid w:val="00CF237D"/>
    <w:rsid w:val="00EB6300"/>
    <w:rsid w:val="00F15A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153"/>
  </w:style>
  <w:style w:type="paragraph" w:styleId="Heading1">
    <w:name w:val="heading 1"/>
    <w:basedOn w:val="Normal"/>
    <w:next w:val="Normal"/>
    <w:link w:val="Heading1Char"/>
    <w:uiPriority w:val="9"/>
    <w:qFormat/>
    <w:rsid w:val="009920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0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0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0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0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0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0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0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0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0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05B"/>
    <w:rPr>
      <w:rFonts w:eastAsiaTheme="majorEastAsia" w:cstheme="majorBidi"/>
      <w:color w:val="272727" w:themeColor="text1" w:themeTint="D8"/>
    </w:rPr>
  </w:style>
  <w:style w:type="paragraph" w:styleId="Title">
    <w:name w:val="Title"/>
    <w:basedOn w:val="Normal"/>
    <w:next w:val="Normal"/>
    <w:link w:val="TitleChar"/>
    <w:uiPriority w:val="10"/>
    <w:qFormat/>
    <w:rsid w:val="009920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05B"/>
    <w:pPr>
      <w:spacing w:before="160"/>
      <w:jc w:val="center"/>
    </w:pPr>
    <w:rPr>
      <w:i/>
      <w:iCs/>
      <w:color w:val="404040" w:themeColor="text1" w:themeTint="BF"/>
    </w:rPr>
  </w:style>
  <w:style w:type="character" w:customStyle="1" w:styleId="QuoteChar">
    <w:name w:val="Quote Char"/>
    <w:basedOn w:val="DefaultParagraphFont"/>
    <w:link w:val="Quote"/>
    <w:uiPriority w:val="29"/>
    <w:rsid w:val="0099205B"/>
    <w:rPr>
      <w:i/>
      <w:iCs/>
      <w:color w:val="404040" w:themeColor="text1" w:themeTint="BF"/>
    </w:rPr>
  </w:style>
  <w:style w:type="paragraph" w:styleId="ListParagraph">
    <w:name w:val="List Paragraph"/>
    <w:basedOn w:val="Normal"/>
    <w:uiPriority w:val="34"/>
    <w:qFormat/>
    <w:rsid w:val="0099205B"/>
    <w:pPr>
      <w:ind w:left="720"/>
      <w:contextualSpacing/>
    </w:pPr>
  </w:style>
  <w:style w:type="character" w:styleId="IntenseEmphasis">
    <w:name w:val="Intense Emphasis"/>
    <w:basedOn w:val="DefaultParagraphFont"/>
    <w:uiPriority w:val="21"/>
    <w:qFormat/>
    <w:rsid w:val="0099205B"/>
    <w:rPr>
      <w:i/>
      <w:iCs/>
      <w:color w:val="2F5496" w:themeColor="accent1" w:themeShade="BF"/>
    </w:rPr>
  </w:style>
  <w:style w:type="paragraph" w:styleId="IntenseQuote">
    <w:name w:val="Intense Quote"/>
    <w:basedOn w:val="Normal"/>
    <w:next w:val="Normal"/>
    <w:link w:val="IntenseQuoteChar"/>
    <w:uiPriority w:val="30"/>
    <w:qFormat/>
    <w:rsid w:val="009920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05B"/>
    <w:rPr>
      <w:i/>
      <w:iCs/>
      <w:color w:val="2F5496" w:themeColor="accent1" w:themeShade="BF"/>
    </w:rPr>
  </w:style>
  <w:style w:type="character" w:styleId="IntenseReference">
    <w:name w:val="Intense Reference"/>
    <w:basedOn w:val="DefaultParagraphFont"/>
    <w:uiPriority w:val="32"/>
    <w:qFormat/>
    <w:rsid w:val="0099205B"/>
    <w:rPr>
      <w:b/>
      <w:bCs/>
      <w:smallCaps/>
      <w:color w:val="2F5496" w:themeColor="accent1" w:themeShade="BF"/>
      <w:spacing w:val="5"/>
    </w:rPr>
  </w:style>
  <w:style w:type="paragraph" w:styleId="Header">
    <w:name w:val="header"/>
    <w:basedOn w:val="Normal"/>
    <w:link w:val="HeaderChar"/>
    <w:uiPriority w:val="99"/>
    <w:semiHidden/>
    <w:unhideWhenUsed/>
    <w:rsid w:val="00BA61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A613F"/>
  </w:style>
  <w:style w:type="paragraph" w:styleId="Footer">
    <w:name w:val="footer"/>
    <w:basedOn w:val="Normal"/>
    <w:link w:val="FooterChar"/>
    <w:uiPriority w:val="99"/>
    <w:unhideWhenUsed/>
    <w:rsid w:val="00BA61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13F"/>
  </w:style>
  <w:style w:type="paragraph" w:styleId="BalloonText">
    <w:name w:val="Balloon Text"/>
    <w:basedOn w:val="Normal"/>
    <w:link w:val="BalloonTextChar"/>
    <w:uiPriority w:val="99"/>
    <w:semiHidden/>
    <w:unhideWhenUsed/>
    <w:rsid w:val="00BA61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13F"/>
    <w:rPr>
      <w:rFonts w:ascii="Tahoma" w:hAnsi="Tahoma" w:cs="Tahoma"/>
      <w:sz w:val="16"/>
      <w:szCs w:val="16"/>
    </w:rPr>
  </w:style>
  <w:style w:type="paragraph" w:styleId="NoSpacing">
    <w:name w:val="No Spacing"/>
    <w:uiPriority w:val="1"/>
    <w:qFormat/>
    <w:rsid w:val="00BA613F"/>
    <w:pPr>
      <w:spacing w:after="0" w:line="240" w:lineRule="auto"/>
    </w:pPr>
    <w:rPr>
      <w:rFonts w:ascii="Calibri" w:eastAsia="Times New Roman" w:hAnsi="Calibri" w:cs="Mangal"/>
      <w:kern w:val="0"/>
      <w:szCs w:val="20"/>
      <w:lang w:val="en-US" w:bidi="hi-I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1193</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shalu chauhan</dc:creator>
  <cp:lastModifiedBy>admin</cp:lastModifiedBy>
  <cp:revision>4</cp:revision>
  <dcterms:created xsi:type="dcterms:W3CDTF">2025-07-03T17:24:00Z</dcterms:created>
  <dcterms:modified xsi:type="dcterms:W3CDTF">2025-07-03T19:22:00Z</dcterms:modified>
</cp:coreProperties>
</file>