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DCD" w:rsidRPr="00DB5B79" w:rsidRDefault="007A4DCD" w:rsidP="007A4DCD">
      <w:pPr>
        <w:rPr>
          <w:rFonts w:ascii="Times New Roman" w:hAnsi="Times New Roman" w:cs="Times New Roman"/>
          <w:sz w:val="24"/>
          <w:szCs w:val="24"/>
          <w:lang w:val="en-US"/>
        </w:rPr>
      </w:pPr>
    </w:p>
    <w:p w:rsidR="007A4DCD" w:rsidRPr="00DB5B79" w:rsidRDefault="007A4DCD" w:rsidP="007A4DCD">
      <w:pPr>
        <w:spacing w:after="0"/>
        <w:jc w:val="center"/>
        <w:rPr>
          <w:rFonts w:ascii="Times New Roman" w:hAnsi="Times New Roman" w:cs="Times New Roman"/>
          <w:b/>
          <w:sz w:val="28"/>
          <w:szCs w:val="28"/>
          <w:lang w:val="en-US"/>
        </w:rPr>
      </w:pPr>
      <w:r w:rsidRPr="00DB5B79">
        <w:rPr>
          <w:rFonts w:ascii="Times New Roman" w:hAnsi="Times New Roman" w:cs="Times New Roman"/>
          <w:b/>
          <w:sz w:val="28"/>
          <w:szCs w:val="28"/>
          <w:lang w:val="en-US"/>
        </w:rPr>
        <w:t>Impact of General Well</w:t>
      </w:r>
      <w:r w:rsidR="00E240FA" w:rsidRPr="00DB5B79">
        <w:rPr>
          <w:rFonts w:ascii="Times New Roman" w:hAnsi="Times New Roman" w:cs="Times New Roman"/>
          <w:b/>
          <w:sz w:val="28"/>
          <w:szCs w:val="28"/>
          <w:lang w:val="en-US"/>
        </w:rPr>
        <w:t>-</w:t>
      </w:r>
      <w:r w:rsidRPr="00DB5B79">
        <w:rPr>
          <w:rFonts w:ascii="Times New Roman" w:hAnsi="Times New Roman" w:cs="Times New Roman"/>
          <w:b/>
          <w:sz w:val="28"/>
          <w:szCs w:val="28"/>
          <w:lang w:val="en-US"/>
        </w:rPr>
        <w:t>Being on Academic Achievement of S</w:t>
      </w:r>
      <w:r w:rsidR="00DB5B79" w:rsidRPr="00DB5B79">
        <w:rPr>
          <w:rFonts w:ascii="Times New Roman" w:hAnsi="Times New Roman" w:cs="Times New Roman"/>
          <w:b/>
          <w:sz w:val="28"/>
          <w:szCs w:val="28"/>
          <w:lang w:val="en-US"/>
        </w:rPr>
        <w:t>enior Secondary School Students</w:t>
      </w:r>
    </w:p>
    <w:p w:rsidR="00DB5B79" w:rsidRPr="00DB5B79" w:rsidRDefault="00DB5B79" w:rsidP="007A4DCD">
      <w:pPr>
        <w:spacing w:after="0"/>
        <w:jc w:val="center"/>
        <w:rPr>
          <w:rFonts w:ascii="Times New Roman" w:hAnsi="Times New Roman" w:cs="Times New Roman"/>
          <w:b/>
          <w:sz w:val="24"/>
          <w:szCs w:val="24"/>
          <w:lang w:val="en-US"/>
        </w:rPr>
      </w:pPr>
    </w:p>
    <w:p w:rsidR="007A4DCD" w:rsidRPr="00DB5B79" w:rsidRDefault="00DB5B79" w:rsidP="007A4DCD">
      <w:pPr>
        <w:spacing w:after="0"/>
        <w:jc w:val="center"/>
        <w:rPr>
          <w:rFonts w:ascii="Times New Roman" w:hAnsi="Times New Roman" w:cs="Times New Roman"/>
          <w:bCs/>
          <w:sz w:val="24"/>
          <w:szCs w:val="24"/>
          <w:lang w:val="en-US"/>
        </w:rPr>
      </w:pPr>
      <w:r w:rsidRPr="00DB5B79">
        <w:rPr>
          <w:rFonts w:ascii="Times New Roman" w:hAnsi="Times New Roman" w:cs="Times New Roman"/>
          <w:bCs/>
          <w:sz w:val="28"/>
          <w:szCs w:val="28"/>
          <w:lang w:val="en-US"/>
        </w:rPr>
        <w:t>*</w:t>
      </w:r>
      <w:r w:rsidR="007A4DCD" w:rsidRPr="00DB5B79">
        <w:rPr>
          <w:rFonts w:ascii="Times New Roman" w:hAnsi="Times New Roman" w:cs="Times New Roman"/>
          <w:bCs/>
          <w:sz w:val="28"/>
          <w:szCs w:val="28"/>
          <w:lang w:val="en-US"/>
        </w:rPr>
        <w:t>Ms. Neeru Chanchal</w:t>
      </w:r>
      <w:r w:rsidR="007A4DCD" w:rsidRPr="00DB5B79">
        <w:rPr>
          <w:rFonts w:ascii="Times New Roman" w:hAnsi="Times New Roman" w:cs="Times New Roman"/>
          <w:bCs/>
          <w:sz w:val="24"/>
          <w:szCs w:val="24"/>
          <w:lang w:val="en-US"/>
        </w:rPr>
        <w:t xml:space="preserve">, </w:t>
      </w:r>
    </w:p>
    <w:p w:rsidR="00B66B67" w:rsidRPr="00DB5B79" w:rsidRDefault="00B66B67" w:rsidP="009F2115">
      <w:pPr>
        <w:spacing w:after="0"/>
        <w:rPr>
          <w:rFonts w:ascii="Times New Roman" w:hAnsi="Times New Roman" w:cs="Times New Roman"/>
          <w:b/>
          <w:sz w:val="24"/>
          <w:szCs w:val="24"/>
          <w:lang w:val="en-US"/>
        </w:rPr>
      </w:pPr>
    </w:p>
    <w:p w:rsidR="00B66B67" w:rsidRDefault="00DB5B79" w:rsidP="00DB5B79">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highlight w:val="lightGray"/>
          <w:lang w:val="en-US"/>
        </w:rPr>
        <w:t>*</w:t>
      </w:r>
      <w:r w:rsidRPr="00DB5B79">
        <w:rPr>
          <w:rFonts w:ascii="Times New Roman" w:hAnsi="Times New Roman" w:cs="Times New Roman"/>
          <w:b/>
          <w:sz w:val="28"/>
          <w:szCs w:val="28"/>
          <w:highlight w:val="lightGray"/>
          <w:lang w:val="en-US"/>
        </w:rPr>
        <w:t>Abstract</w:t>
      </w:r>
    </w:p>
    <w:p w:rsidR="008A26C8" w:rsidRPr="00DB5B79" w:rsidRDefault="008A26C8" w:rsidP="00DB5B79">
      <w:pPr>
        <w:spacing w:after="0" w:line="360" w:lineRule="auto"/>
        <w:jc w:val="center"/>
        <w:rPr>
          <w:rFonts w:ascii="Times New Roman" w:hAnsi="Times New Roman" w:cs="Times New Roman"/>
          <w:b/>
          <w:sz w:val="28"/>
          <w:szCs w:val="28"/>
          <w:lang w:val="en-US"/>
        </w:rPr>
      </w:pPr>
    </w:p>
    <w:p w:rsidR="00DB5B79" w:rsidRPr="00DB5B79" w:rsidRDefault="003E471E" w:rsidP="00DB5B7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Cs/>
          <w:i/>
          <w:sz w:val="24"/>
          <w:szCs w:val="24"/>
          <w:lang w:val="en-US"/>
        </w:rPr>
      </w:pPr>
      <w:r w:rsidRPr="00DB5B79">
        <w:rPr>
          <w:rFonts w:ascii="Times New Roman" w:hAnsi="Times New Roman" w:cs="Times New Roman"/>
          <w:bCs/>
          <w:i/>
          <w:sz w:val="24"/>
          <w:szCs w:val="24"/>
          <w:lang w:val="en-US"/>
        </w:rPr>
        <w:t>The present study aimed to know the</w:t>
      </w:r>
      <w:r w:rsidR="004A435F" w:rsidRPr="00DB5B79">
        <w:rPr>
          <w:rFonts w:ascii="Times New Roman" w:hAnsi="Times New Roman" w:cs="Times New Roman"/>
          <w:bCs/>
          <w:i/>
          <w:sz w:val="24"/>
          <w:szCs w:val="24"/>
          <w:lang w:val="en-US"/>
        </w:rPr>
        <w:t>Impact of General Well</w:t>
      </w:r>
      <w:r w:rsidR="00E240FA" w:rsidRPr="00DB5B79">
        <w:rPr>
          <w:rFonts w:ascii="Times New Roman" w:hAnsi="Times New Roman" w:cs="Times New Roman"/>
          <w:bCs/>
          <w:i/>
          <w:sz w:val="24"/>
          <w:szCs w:val="24"/>
          <w:lang w:val="en-US"/>
        </w:rPr>
        <w:t>-</w:t>
      </w:r>
      <w:r w:rsidR="004A435F" w:rsidRPr="00DB5B79">
        <w:rPr>
          <w:rFonts w:ascii="Times New Roman" w:hAnsi="Times New Roman" w:cs="Times New Roman"/>
          <w:bCs/>
          <w:i/>
          <w:sz w:val="24"/>
          <w:szCs w:val="24"/>
          <w:lang w:val="en-US"/>
        </w:rPr>
        <w:t>Being on Academic Achievement of Senior Secondary School Student. General Well-Being Scale (GWBS) by Dr. Ashok K. Kalia and Ms. Anita Deswal (2010) will be used for data collection</w:t>
      </w:r>
      <w:r w:rsidR="00780AD5" w:rsidRPr="00DB5B79">
        <w:rPr>
          <w:rFonts w:ascii="Times New Roman" w:hAnsi="Times New Roman" w:cs="Times New Roman"/>
          <w:bCs/>
          <w:i/>
          <w:sz w:val="24"/>
          <w:szCs w:val="24"/>
          <w:lang w:val="en-US"/>
        </w:rPr>
        <w:t xml:space="preserve">. </w:t>
      </w:r>
      <w:r w:rsidR="004A435F" w:rsidRPr="00DB5B79">
        <w:rPr>
          <w:rFonts w:ascii="Times New Roman" w:hAnsi="Times New Roman" w:cs="Times New Roman"/>
          <w:bCs/>
          <w:i/>
          <w:sz w:val="24"/>
          <w:szCs w:val="24"/>
          <w:lang w:val="en-US"/>
        </w:rPr>
        <w:t xml:space="preserve">Obtained marks of previous class result have been treated as academic achievement score. The population of the present study comprised all the senior secondary school students of Gurugram. </w:t>
      </w:r>
      <w:r w:rsidR="00D11DA6" w:rsidRPr="00DB5B79">
        <w:rPr>
          <w:rFonts w:ascii="Times New Roman" w:hAnsi="Times New Roman" w:cs="Times New Roman"/>
          <w:bCs/>
          <w:i/>
          <w:sz w:val="24"/>
          <w:szCs w:val="24"/>
          <w:lang w:val="en-US"/>
        </w:rPr>
        <w:t>T</w:t>
      </w:r>
      <w:r w:rsidR="004A435F" w:rsidRPr="00DB5B79">
        <w:rPr>
          <w:rFonts w:ascii="Times New Roman" w:hAnsi="Times New Roman" w:cs="Times New Roman"/>
          <w:bCs/>
          <w:i/>
          <w:sz w:val="24"/>
          <w:szCs w:val="24"/>
          <w:lang w:val="en-US"/>
        </w:rPr>
        <w:t>he sample was selected on the basis of random sampling technique. For the purpose of this study, a sample of 120 students (60 male and 60 female) from two government and private senior secondary schools were selected through random sampling method. It was found that there is a significant difference in academic achievement of male and female senior secondary school students. Female students have good academic achievement in comparison to male students.   It was found that there is a significant difference in general well</w:t>
      </w:r>
      <w:r w:rsidR="00087394" w:rsidRPr="00DB5B79">
        <w:rPr>
          <w:rFonts w:ascii="Times New Roman" w:hAnsi="Times New Roman" w:cs="Times New Roman"/>
          <w:bCs/>
          <w:i/>
          <w:sz w:val="24"/>
          <w:szCs w:val="24"/>
          <w:lang w:val="en-US"/>
        </w:rPr>
        <w:t>-</w:t>
      </w:r>
      <w:r w:rsidR="004A435F" w:rsidRPr="00DB5B79">
        <w:rPr>
          <w:rFonts w:ascii="Times New Roman" w:hAnsi="Times New Roman" w:cs="Times New Roman"/>
          <w:bCs/>
          <w:i/>
          <w:sz w:val="24"/>
          <w:szCs w:val="24"/>
          <w:lang w:val="en-US"/>
        </w:rPr>
        <w:t>being of male and female senior secondary school students. Male students have good general well</w:t>
      </w:r>
      <w:r w:rsidR="00087394" w:rsidRPr="00DB5B79">
        <w:rPr>
          <w:rFonts w:ascii="Times New Roman" w:hAnsi="Times New Roman" w:cs="Times New Roman"/>
          <w:bCs/>
          <w:i/>
          <w:sz w:val="24"/>
          <w:szCs w:val="24"/>
          <w:lang w:val="en-US"/>
        </w:rPr>
        <w:t>-</w:t>
      </w:r>
      <w:r w:rsidR="004A435F" w:rsidRPr="00DB5B79">
        <w:rPr>
          <w:rFonts w:ascii="Times New Roman" w:hAnsi="Times New Roman" w:cs="Times New Roman"/>
          <w:bCs/>
          <w:i/>
          <w:sz w:val="24"/>
          <w:szCs w:val="24"/>
          <w:lang w:val="en-US"/>
        </w:rPr>
        <w:t>being in comparison to female students.It was found that there is a significant difference in academic achievement of senior secondary school students having low and high general well-being.  Students having high general well-being have better academic achievement that the students with low general well-being</w:t>
      </w:r>
      <w:r w:rsidR="00780AD5" w:rsidRPr="00DB5B79">
        <w:rPr>
          <w:rFonts w:ascii="Times New Roman" w:hAnsi="Times New Roman" w:cs="Times New Roman"/>
          <w:bCs/>
          <w:i/>
          <w:sz w:val="24"/>
          <w:szCs w:val="24"/>
          <w:lang w:val="en-US"/>
        </w:rPr>
        <w:t xml:space="preserve">. </w:t>
      </w:r>
      <w:r w:rsidR="004A435F" w:rsidRPr="00DB5B79">
        <w:rPr>
          <w:rFonts w:ascii="Times New Roman" w:hAnsi="Times New Roman" w:cs="Times New Roman"/>
          <w:bCs/>
          <w:i/>
          <w:sz w:val="24"/>
          <w:szCs w:val="24"/>
          <w:lang w:val="en-US"/>
        </w:rPr>
        <w:t>It was found that there is a significant relationship between general wel</w:t>
      </w:r>
      <w:r w:rsidR="00087394" w:rsidRPr="00DB5B79">
        <w:rPr>
          <w:rFonts w:ascii="Times New Roman" w:hAnsi="Times New Roman" w:cs="Times New Roman"/>
          <w:bCs/>
          <w:i/>
          <w:sz w:val="24"/>
          <w:szCs w:val="24"/>
          <w:lang w:val="en-US"/>
        </w:rPr>
        <w:t>l-</w:t>
      </w:r>
      <w:r w:rsidR="004A435F" w:rsidRPr="00DB5B79">
        <w:rPr>
          <w:rFonts w:ascii="Times New Roman" w:hAnsi="Times New Roman" w:cs="Times New Roman"/>
          <w:bCs/>
          <w:i/>
          <w:sz w:val="24"/>
          <w:szCs w:val="24"/>
          <w:lang w:val="en-US"/>
        </w:rPr>
        <w:t>being and academic achievement senior secondary school students.  It can be interpreted that with increase in general well</w:t>
      </w:r>
      <w:r w:rsidR="00087394" w:rsidRPr="00DB5B79">
        <w:rPr>
          <w:rFonts w:ascii="Times New Roman" w:hAnsi="Times New Roman" w:cs="Times New Roman"/>
          <w:bCs/>
          <w:i/>
          <w:sz w:val="24"/>
          <w:szCs w:val="24"/>
          <w:lang w:val="en-US"/>
        </w:rPr>
        <w:t>-</w:t>
      </w:r>
      <w:r w:rsidR="004A435F" w:rsidRPr="00DB5B79">
        <w:rPr>
          <w:rFonts w:ascii="Times New Roman" w:hAnsi="Times New Roman" w:cs="Times New Roman"/>
          <w:bCs/>
          <w:i/>
          <w:sz w:val="24"/>
          <w:szCs w:val="24"/>
          <w:lang w:val="en-US"/>
        </w:rPr>
        <w:t>being, the academic achievement of senior secondary school students increases and vice-versa.</w:t>
      </w:r>
    </w:p>
    <w:p w:rsidR="00DB5B79" w:rsidRPr="00DB5B79" w:rsidRDefault="005D09E5" w:rsidP="00DB5B7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i/>
          <w:sz w:val="24"/>
          <w:szCs w:val="24"/>
          <w:lang w:val="en-US"/>
        </w:rPr>
      </w:pPr>
      <w:r w:rsidRPr="00DB5B79">
        <w:rPr>
          <w:rFonts w:ascii="Times New Roman" w:hAnsi="Times New Roman" w:cs="Times New Roman"/>
          <w:b/>
          <w:i/>
          <w:sz w:val="24"/>
          <w:szCs w:val="24"/>
          <w:lang w:val="en-US"/>
        </w:rPr>
        <w:t>Keywords:</w:t>
      </w:r>
    </w:p>
    <w:p w:rsidR="005D09E5" w:rsidRPr="00DB5B79" w:rsidRDefault="005D09E5" w:rsidP="00DB5B7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Cs/>
          <w:i/>
          <w:sz w:val="24"/>
          <w:szCs w:val="24"/>
          <w:lang w:val="en-US"/>
        </w:rPr>
      </w:pPr>
      <w:r w:rsidRPr="00DB5B79">
        <w:rPr>
          <w:rFonts w:ascii="Times New Roman" w:hAnsi="Times New Roman" w:cs="Times New Roman"/>
          <w:bCs/>
          <w:i/>
          <w:sz w:val="24"/>
          <w:szCs w:val="24"/>
          <w:lang w:val="en-US"/>
        </w:rPr>
        <w:t>General Well Being, Academic Achievement, Senior Secondary School Students</w:t>
      </w:r>
    </w:p>
    <w:p w:rsidR="00780AD5" w:rsidRPr="00DB5B79" w:rsidRDefault="00780AD5" w:rsidP="00A53060">
      <w:pPr>
        <w:spacing w:after="0" w:line="360" w:lineRule="auto"/>
        <w:rPr>
          <w:rFonts w:ascii="Times New Roman" w:hAnsi="Times New Roman" w:cs="Times New Roman"/>
          <w:bCs/>
          <w:sz w:val="24"/>
          <w:szCs w:val="24"/>
          <w:lang w:val="en-US"/>
        </w:rPr>
      </w:pPr>
    </w:p>
    <w:p w:rsidR="00DB5B79" w:rsidRDefault="00DB5B79" w:rsidP="00A53060">
      <w:pPr>
        <w:spacing w:after="0" w:line="360" w:lineRule="auto"/>
        <w:rPr>
          <w:rFonts w:ascii="Times New Roman" w:hAnsi="Times New Roman" w:cs="Times New Roman"/>
          <w:b/>
          <w:sz w:val="24"/>
          <w:szCs w:val="24"/>
          <w:lang w:val="en-US"/>
        </w:rPr>
      </w:pPr>
    </w:p>
    <w:p w:rsidR="00DB5B79" w:rsidRDefault="00DB5B79" w:rsidP="00A53060">
      <w:pPr>
        <w:spacing w:after="0" w:line="360" w:lineRule="auto"/>
        <w:rPr>
          <w:rFonts w:ascii="Times New Roman" w:hAnsi="Times New Roman" w:cs="Times New Roman"/>
          <w:b/>
          <w:sz w:val="24"/>
          <w:szCs w:val="24"/>
          <w:lang w:val="en-US"/>
        </w:rPr>
      </w:pPr>
    </w:p>
    <w:p w:rsidR="006E6CBE" w:rsidRDefault="006E6CBE" w:rsidP="00A53060">
      <w:pPr>
        <w:spacing w:after="0" w:line="360" w:lineRule="auto"/>
        <w:rPr>
          <w:rFonts w:ascii="Times New Roman" w:hAnsi="Times New Roman" w:cs="Times New Roman"/>
          <w:b/>
          <w:sz w:val="24"/>
          <w:szCs w:val="24"/>
          <w:lang w:val="en-US"/>
        </w:rPr>
      </w:pPr>
      <w:r w:rsidRPr="00DB5B79">
        <w:rPr>
          <w:rFonts w:ascii="Times New Roman" w:hAnsi="Times New Roman" w:cs="Times New Roman"/>
          <w:b/>
          <w:sz w:val="24"/>
          <w:szCs w:val="24"/>
          <w:lang w:val="en-US"/>
        </w:rPr>
        <w:t xml:space="preserve">Introduction </w:t>
      </w:r>
    </w:p>
    <w:p w:rsidR="00DB5B79" w:rsidRPr="00DB5B79" w:rsidRDefault="00DB5B79" w:rsidP="00A53060">
      <w:pPr>
        <w:spacing w:after="0" w:line="360" w:lineRule="auto"/>
        <w:rPr>
          <w:rFonts w:ascii="Times New Roman" w:hAnsi="Times New Roman" w:cs="Times New Roman"/>
          <w:bCs/>
          <w:sz w:val="24"/>
          <w:szCs w:val="24"/>
          <w:lang w:val="en-US"/>
        </w:rPr>
      </w:pPr>
    </w:p>
    <w:p w:rsidR="006E6CBE" w:rsidRPr="00DB5B79" w:rsidRDefault="006E6CBE"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In the recent years, both in the scientific beside in popular literature, there is an accumulated interest in quality of life, dimensions that describes quality of life and events that affect quality of life. Most of, the quality of life composites as, composite of the physical, psychological and the ethnical well</w:t>
      </w:r>
      <w:r w:rsidR="00AA4A36"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of a person, as perceived by the person as a group. A very important aspect of lineament of life is the happiness, atonement or gratification subjectively experienced which is often name as well-being.  Well</w:t>
      </w:r>
      <w:r w:rsidR="00AA4A36"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is not a mono dimensional or unitary construct, and scholars in this region generally advocate examining different types of indicators. The research of well</w:t>
      </w:r>
      <w:r w:rsidR="00AA4A36"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is related with the individual’s subjective experience about their lives and the inherent premise is that the well-being is defined as the individual’s conscious knowledge/experiences in terms of the hedonic feelings and the cognitive satisfactions. The area is improved on the assumption in order to understand someone's experiential quality of the well-being, it is apropos to assess how an individual realize about life in the circumstance of one’s own standards. Some of the important definitions of well-being are as </w:t>
      </w:r>
      <w:r w:rsidR="00AA4A36" w:rsidRPr="00DB5B79">
        <w:rPr>
          <w:rFonts w:ascii="Times New Roman" w:hAnsi="Times New Roman" w:cs="Times New Roman"/>
          <w:bCs/>
          <w:sz w:val="24"/>
          <w:szCs w:val="24"/>
          <w:lang w:val="en-US"/>
        </w:rPr>
        <w:t>following: -</w:t>
      </w:r>
    </w:p>
    <w:p w:rsidR="006E6CBE" w:rsidRPr="00DB5B79" w:rsidRDefault="006E6CBE"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Veenhoven (1984) defines the subjective well-being as, “the degree by which an individual justice the overall quality of his or her personal life as a whole in a favorable manner. In other words, subjective well-being is how intimately the person like the life she or he leads”.</w:t>
      </w:r>
    </w:p>
    <w:p w:rsidR="006E6CBE" w:rsidRPr="00DB5B79" w:rsidRDefault="006E6CBE"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Verma and Verma (1989) defined general well-being as, “the subjective sensation of contentment, happiness, satisfaction with life’s experiences and of one’s role in the universe of work, sense of achievement, utility, belongingness, no distress, dissatisfaction or worry etc.”</w:t>
      </w:r>
    </w:p>
    <w:p w:rsidR="006E6CBE" w:rsidRPr="00DB5B79" w:rsidRDefault="006E6CBE"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Shymotkin and Lomranz (1998) stated that, “subjective well-being refers to the overall rating of one’s quality of life on an affirmative – negative continuum and it’s more intuitively concepturlise as happiness or satisfaction. Reflecting the individuals necessary outlook on life, it provides a positively named albeit crude, indicator of adjustment and mental wellness”.</w:t>
      </w:r>
    </w:p>
    <w:p w:rsidR="00370FBF" w:rsidRPr="00DB5B79" w:rsidRDefault="00370FBF" w:rsidP="00A53060">
      <w:pPr>
        <w:spacing w:after="0" w:line="360" w:lineRule="auto"/>
        <w:jc w:val="both"/>
        <w:rPr>
          <w:rFonts w:ascii="Times New Roman" w:hAnsi="Times New Roman" w:cs="Times New Roman"/>
          <w:bCs/>
          <w:sz w:val="24"/>
          <w:szCs w:val="24"/>
          <w:lang w:val="en-US"/>
        </w:rPr>
      </w:pPr>
    </w:p>
    <w:p w:rsidR="008A26C8" w:rsidRDefault="008A26C8" w:rsidP="00A53060">
      <w:pPr>
        <w:spacing w:after="0" w:line="360" w:lineRule="auto"/>
        <w:jc w:val="both"/>
        <w:rPr>
          <w:rFonts w:ascii="Times New Roman" w:hAnsi="Times New Roman" w:cs="Times New Roman"/>
          <w:b/>
          <w:sz w:val="24"/>
          <w:szCs w:val="24"/>
          <w:lang w:val="en-US"/>
        </w:rPr>
      </w:pPr>
    </w:p>
    <w:p w:rsidR="009F2115" w:rsidRDefault="009F2115" w:rsidP="00A53060">
      <w:pPr>
        <w:spacing w:after="0"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lastRenderedPageBreak/>
        <w:t>Nature of Well being</w:t>
      </w:r>
    </w:p>
    <w:p w:rsidR="008A26C8" w:rsidRPr="00DB5B79" w:rsidRDefault="008A26C8" w:rsidP="00A53060">
      <w:pPr>
        <w:spacing w:after="0" w:line="360" w:lineRule="auto"/>
        <w:jc w:val="both"/>
        <w:rPr>
          <w:rFonts w:ascii="Times New Roman" w:hAnsi="Times New Roman" w:cs="Times New Roman"/>
          <w:b/>
          <w:sz w:val="24"/>
          <w:szCs w:val="24"/>
          <w:lang w:val="en-US"/>
        </w:rPr>
      </w:pPr>
    </w:p>
    <w:p w:rsidR="009F2115"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Diener (1984) stated that, “there are some cardinal characteristics of the concept of well-being, basic it is subjective”. According to Campbell (1976), “it shacks within the experience of the individual”. Notably away from the definition of well-being, Kammann (1983) explained some important objective terms, “such as health, comfort, virtue or wealth. Though, such conditions are seen as potential influences on well-being, they are not realized as an inherent and necessary part of wellbeing”. Hence, well</w:t>
      </w:r>
      <w:r w:rsidR="000A53F7"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is also defined as the internal experiences where an external form of the reference is not irresistible in the assessment of well-being.</w:t>
      </w:r>
    </w:p>
    <w:p w:rsidR="009F2115"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Second, well-being comprises the positive measure. It is simply, not only the absence of the counter factors but also the true measures of the psychological health. The field includes the whole ambit of the well</w:t>
      </w:r>
      <w:r w:rsidR="000A53F7"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from agony to ecstasy. It does not </w:t>
      </w:r>
      <w:r w:rsidR="000A53F7" w:rsidRPr="00DB5B79">
        <w:rPr>
          <w:rFonts w:ascii="Times New Roman" w:hAnsi="Times New Roman" w:cs="Times New Roman"/>
          <w:bCs/>
          <w:sz w:val="24"/>
          <w:szCs w:val="24"/>
          <w:lang w:val="en-US"/>
        </w:rPr>
        <w:t>point</w:t>
      </w:r>
      <w:r w:rsidRPr="00DB5B79">
        <w:rPr>
          <w:rFonts w:ascii="Times New Roman" w:hAnsi="Times New Roman" w:cs="Times New Roman"/>
          <w:bCs/>
          <w:sz w:val="24"/>
          <w:szCs w:val="24"/>
          <w:lang w:val="en-US"/>
        </w:rPr>
        <w:t xml:space="preserve"> only to the undesirable/unsuitable states i.e. the sad feelings of gloom and the hopelessness. The positive well</w:t>
      </w:r>
      <w:r w:rsidR="000A53F7"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aspects are also considered important way, that it also deals with components that would be capable to differentiate, slightly bliss full individuals from the moderately and extremely happy individuals.</w:t>
      </w:r>
    </w:p>
    <w:p w:rsidR="009F2115"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A final authentication of well-being is that it focuses on longer term states instead of just the momentary humor. Although, an individual’s moods or emotions are likely to vacillate according to new situations and events. The researchers who studied well-being are highly interested to assess the individual’s mood on a particular time. Even so, it is clear that a moment which brings happiness might not be effective in producing the well-being also. So, the well-being researchers are keenly interested in comparing the enduring feelings of the well-being, not just fleeting emotions (Diener, Suh, and Oishi, 1997).</w:t>
      </w:r>
    </w:p>
    <w:p w:rsidR="009F2115"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It is highly important to note here that far more than </w:t>
      </w:r>
      <w:r w:rsidR="00C5561E" w:rsidRPr="00DB5B79">
        <w:rPr>
          <w:rFonts w:ascii="Times New Roman" w:hAnsi="Times New Roman" w:cs="Times New Roman"/>
          <w:bCs/>
          <w:sz w:val="24"/>
          <w:szCs w:val="24"/>
          <w:lang w:val="en-US"/>
        </w:rPr>
        <w:t>twenty-five</w:t>
      </w:r>
      <w:r w:rsidRPr="00DB5B79">
        <w:rPr>
          <w:rFonts w:ascii="Times New Roman" w:hAnsi="Times New Roman" w:cs="Times New Roman"/>
          <w:bCs/>
          <w:sz w:val="24"/>
          <w:szCs w:val="24"/>
          <w:lang w:val="en-US"/>
        </w:rPr>
        <w:t xml:space="preserve"> years, the research on well-being has been controlled by the two primary basic conceptions of the positive functioning. first conception by Bradburn’s (1969), “the traceable seminal work, distinguished among positive and negative affect and delimit happiness the balance between these two”. Second concept has gained popularity and importance, which puts a lot, emphasizes on the life gratification as an indicator of the well-being. It seems important to note that Myers and Diener (1995) specify the concept of subjective well-being as, “the relative presence of </w:t>
      </w:r>
      <w:r w:rsidRPr="00DB5B79">
        <w:rPr>
          <w:rFonts w:ascii="Times New Roman" w:hAnsi="Times New Roman" w:cs="Times New Roman"/>
          <w:bCs/>
          <w:sz w:val="24"/>
          <w:szCs w:val="24"/>
          <w:lang w:val="en-US"/>
        </w:rPr>
        <w:lastRenderedPageBreak/>
        <w:t>affirmative affect, absence of negative affect, and gratification with life.” Pavot, Diener, Colvin and Sandvik (1991) specify the life satisfaction as, “a global rating by the person of their life and viewed it as an important component of cognitive functioning, life gratification was viewed to be the complementary happiness and the more emotive dimensions of the positive functioning”.</w:t>
      </w:r>
    </w:p>
    <w:p w:rsidR="009F2115"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Hence, Campbell, Converse, and Rogers (1976) originally made the difference between an affective and a cognitive component of quality of life. It is affiliated to the debate as to whether quality of life is a rational or the emotional phenomenon (Veenhoven, 1984). As per both the studies, impact covers emotion or the pleasantness of experiences, knowledge refers to rational appraisal, perception, reasoning, satisfaction and thinking.</w:t>
      </w:r>
    </w:p>
    <w:p w:rsidR="00B66B67"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Well</w:t>
      </w:r>
      <w:r w:rsidR="00C5561E"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comprised of the three components which are interconnected variables and out of </w:t>
      </w:r>
    </w:p>
    <w:p w:rsidR="009F2115" w:rsidRPr="00DB5B79" w:rsidRDefault="009F2115" w:rsidP="00A53060">
      <w:pPr>
        <w:spacing w:after="0"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three each </w:t>
      </w:r>
      <w:r w:rsidR="00C5561E" w:rsidRPr="00DB5B79">
        <w:rPr>
          <w:rFonts w:ascii="Times New Roman" w:hAnsi="Times New Roman" w:cs="Times New Roman"/>
          <w:bCs/>
          <w:sz w:val="24"/>
          <w:szCs w:val="24"/>
          <w:lang w:val="en-US"/>
        </w:rPr>
        <w:t>lead</w:t>
      </w:r>
      <w:r w:rsidRPr="00DB5B79">
        <w:rPr>
          <w:rFonts w:ascii="Times New Roman" w:hAnsi="Times New Roman" w:cs="Times New Roman"/>
          <w:bCs/>
          <w:sz w:val="24"/>
          <w:szCs w:val="24"/>
          <w:lang w:val="en-US"/>
        </w:rPr>
        <w:t xml:space="preserve"> to the facts of well-being, which in turn can be divided into subdivisions and the of each subdivision further subdivided into even farther subdivisions. Well</w:t>
      </w:r>
      <w:r w:rsidR="00C5561E"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is investigated at worldwide level or which progressively narrower to the levels, which are associated to one’s purpose for e.g. an explorer may studied the life satisfaction on the other hand another might interested in narrower/micro topic of other aspects of satisfaction.</w:t>
      </w:r>
    </w:p>
    <w:p w:rsidR="007A4DCD" w:rsidRPr="00DB5B79" w:rsidRDefault="007A4DCD" w:rsidP="00A53060">
      <w:pPr>
        <w:spacing w:after="0" w:line="360" w:lineRule="auto"/>
        <w:jc w:val="both"/>
        <w:rPr>
          <w:rFonts w:ascii="Times New Roman" w:hAnsi="Times New Roman" w:cs="Times New Roman"/>
          <w:bCs/>
          <w:sz w:val="24"/>
          <w:szCs w:val="24"/>
          <w:lang w:val="en-US"/>
        </w:rPr>
      </w:pP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CORRELATES OF WELL-BEING</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In 1967, Wilson demonstrated that the first major review of empirical evidence about “the correlates of avowed happiness” and stated that a happy individual is a “young, fit, well-educated, well-paid, extroverted, optimistic, worry-free, spiritual, married person with high self-esteem, job morale, humble aspirations, of either sex, and of a broad range of intelligence”. In past, more than 30 years, Wilson reviewed, “thousands of studies have been conducted, and we now a day know much more about the correlative of well-being” and same can be talk about in the following paragraphs.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Age:  Wilson’s (1967) descriptions about the happy person were close in a </w:t>
      </w:r>
      <w:r w:rsidR="00C5561E" w:rsidRPr="00DB5B79">
        <w:rPr>
          <w:rFonts w:ascii="Times New Roman" w:hAnsi="Times New Roman" w:cs="Times New Roman"/>
          <w:bCs/>
          <w:sz w:val="24"/>
          <w:szCs w:val="24"/>
          <w:lang w:val="en-US"/>
        </w:rPr>
        <w:t>various respect</w:t>
      </w:r>
      <w:r w:rsidRPr="00DB5B79">
        <w:rPr>
          <w:rFonts w:ascii="Times New Roman" w:hAnsi="Times New Roman" w:cs="Times New Roman"/>
          <w:bCs/>
          <w:sz w:val="24"/>
          <w:szCs w:val="24"/>
          <w:lang w:val="en-US"/>
        </w:rPr>
        <w:t xml:space="preserve">, Wilson’s some findings and conclusions have been overturned by the ulterior studies. In this review, Wilson concluded that juvenility is one of the most important demographic components influencing well-being younger people report more felicity happiness than older people. As, the time of Wilson’s review, others addressed the question of age and well-being using refined methodologies and large representative, international samples. The Interviews </w:t>
      </w:r>
      <w:r w:rsidRPr="00DB5B79">
        <w:rPr>
          <w:rFonts w:ascii="Times New Roman" w:hAnsi="Times New Roman" w:cs="Times New Roman"/>
          <w:bCs/>
          <w:sz w:val="24"/>
          <w:szCs w:val="24"/>
          <w:lang w:val="en-US"/>
        </w:rPr>
        <w:lastRenderedPageBreak/>
        <w:t>conducted by Lattern (1989) on a sample of people who entirely revealed, no time of the life is noteworthy happier or unhappy as compare to others.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Sex: Wilson (1967) reported sex differences in well-being.  Gurin, Veiroff and Field’s (1960) stated that, “there is no divergences  were found in a recent meta-analysis of  the 146 studies”, Haring, Stock and Okun (1984) reported that, “the men were slightly happier than women, excluding  the magnitude of this difference was very petite (mean r = .04), Inglehart (1990), on a data of 168.776 people from 16 nations, reported that 80% of women and men said that they were at the lowest degree least fairly satisfied with life.”</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Health:  The recent research stated that Wilson much more stressed on the strong relationship between well-being and health. But according to Gearge and Landerman (1984); Okun, Stock, Haring, and Witter (1984) findings, </w:t>
      </w:r>
      <w:r w:rsidR="00396CE5" w:rsidRPr="00DB5B79">
        <w:rPr>
          <w:rFonts w:ascii="Times New Roman" w:hAnsi="Times New Roman" w:cs="Times New Roman"/>
          <w:bCs/>
          <w:sz w:val="24"/>
          <w:szCs w:val="24"/>
          <w:lang w:val="en-US"/>
        </w:rPr>
        <w:t>this</w:t>
      </w:r>
      <w:r w:rsidRPr="00DB5B79">
        <w:rPr>
          <w:rFonts w:ascii="Times New Roman" w:hAnsi="Times New Roman" w:cs="Times New Roman"/>
          <w:bCs/>
          <w:sz w:val="24"/>
          <w:szCs w:val="24"/>
          <w:lang w:val="en-US"/>
        </w:rPr>
        <w:t xml:space="preserve"> association exists only for the self-reported health measurement where an emotional component. The association weakens simultaneously in case when objective rating of health was examined by medicos (Watten, Vassend, Myhrer, and syveren, 1997).</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Income: Wilson’s conclusion, that income found to have an important role in the Well-being, but this association is found to be more intricate as compare to the Wilson’s conclusion. In poor countries, the low per capita income threatens the basic human needs continuously (Argyle, 1999). Income also seems to have a same impact like health. Lack of income can bring a lot </w:t>
      </w:r>
      <w:r w:rsidR="00396CE5" w:rsidRPr="00DB5B79">
        <w:rPr>
          <w:rFonts w:ascii="Times New Roman" w:hAnsi="Times New Roman" w:cs="Times New Roman"/>
          <w:bCs/>
          <w:sz w:val="24"/>
          <w:szCs w:val="24"/>
          <w:lang w:val="en-US"/>
        </w:rPr>
        <w:t>misery</w:t>
      </w:r>
      <w:r w:rsidRPr="00DB5B79">
        <w:rPr>
          <w:rFonts w:ascii="Times New Roman" w:hAnsi="Times New Roman" w:cs="Times New Roman"/>
          <w:bCs/>
          <w:sz w:val="24"/>
          <w:szCs w:val="24"/>
          <w:lang w:val="en-US"/>
        </w:rPr>
        <w:t>. Diener, Harwitz and Emmons, 1985 reported that, “the people on Forbes’s listing of wealthiest Americans reported only slightly greater felicities’ than other Americans; 37% were less blissful than the average American”.</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Education: education is another one important aspect that put significant impact on well</w:t>
      </w:r>
      <w:r w:rsidR="00AA2F16"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of an individual. Some researchers i.e., Campbell, Converse and Rogers (1976); Diener, Sandvik, Seidlitz and Diener (1993) found small but significant correlation between the education and well-being. Education also contributed to the well-being by allowing individuals directly to make advancement towards their actual goals or to adapt or alter them according to the surrounding world but, on the other side education also raised ambitions. Clark and Oswald (1994) reported an extremely educated individual works </w:t>
      </w:r>
      <w:r w:rsidR="00AA2F16" w:rsidRPr="00DB5B79">
        <w:rPr>
          <w:rFonts w:ascii="Times New Roman" w:hAnsi="Times New Roman" w:cs="Times New Roman"/>
          <w:bCs/>
          <w:sz w:val="24"/>
          <w:szCs w:val="24"/>
          <w:lang w:val="en-US"/>
        </w:rPr>
        <w:t>harder and more felt</w:t>
      </w:r>
      <w:r w:rsidRPr="00DB5B79">
        <w:rPr>
          <w:rFonts w:ascii="Times New Roman" w:hAnsi="Times New Roman" w:cs="Times New Roman"/>
          <w:bCs/>
          <w:sz w:val="24"/>
          <w:szCs w:val="24"/>
          <w:lang w:val="en-US"/>
        </w:rPr>
        <w:t xml:space="preserve"> more wellness as compare to the less educated person when both the groups are taken </w:t>
      </w:r>
      <w:r w:rsidRPr="00DB5B79">
        <w:rPr>
          <w:rFonts w:ascii="Times New Roman" w:hAnsi="Times New Roman" w:cs="Times New Roman"/>
          <w:bCs/>
          <w:sz w:val="24"/>
          <w:szCs w:val="24"/>
          <w:lang w:val="en-US"/>
        </w:rPr>
        <w:lastRenderedPageBreak/>
        <w:t>from unemployed status. So, the education was found to interfere with well-being when it leads to the expectations that could not be achieved together.</w:t>
      </w:r>
    </w:p>
    <w:p w:rsidR="007A4DCD" w:rsidRPr="00DB5B79" w:rsidRDefault="00AA2F16"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Intelligence:</w:t>
      </w:r>
      <w:r w:rsidR="007A4DCD" w:rsidRPr="00DB5B79">
        <w:rPr>
          <w:rFonts w:ascii="Times New Roman" w:hAnsi="Times New Roman" w:cs="Times New Roman"/>
          <w:bCs/>
          <w:sz w:val="24"/>
          <w:szCs w:val="24"/>
          <w:lang w:val="en-US"/>
        </w:rPr>
        <w:t xml:space="preserve"> Wilson (1967) stated that, “intelligence per se chance does not have a direct wallop on well-being”. The relationship between well-being and </w:t>
      </w:r>
      <w:r w:rsidRPr="00DB5B79">
        <w:rPr>
          <w:rFonts w:ascii="Times New Roman" w:hAnsi="Times New Roman" w:cs="Times New Roman"/>
          <w:bCs/>
          <w:sz w:val="24"/>
          <w:szCs w:val="24"/>
          <w:lang w:val="en-US"/>
        </w:rPr>
        <w:t>different types</w:t>
      </w:r>
      <w:r w:rsidR="007A4DCD" w:rsidRPr="00DB5B79">
        <w:rPr>
          <w:rFonts w:ascii="Times New Roman" w:hAnsi="Times New Roman" w:cs="Times New Roman"/>
          <w:bCs/>
          <w:sz w:val="24"/>
          <w:szCs w:val="24"/>
          <w:lang w:val="en-US"/>
        </w:rPr>
        <w:t xml:space="preserve"> of intelligence (Cantor and Kihlstorm, 1989) and E I (Mayer and Salovey, 1993) is also worth researching, Though, according to Davis, Stankow, and Roberts (1998) it </w:t>
      </w:r>
      <w:r w:rsidRPr="00DB5B79">
        <w:rPr>
          <w:rFonts w:ascii="Times New Roman" w:hAnsi="Times New Roman" w:cs="Times New Roman"/>
          <w:bCs/>
          <w:sz w:val="24"/>
          <w:szCs w:val="24"/>
          <w:lang w:val="en-US"/>
        </w:rPr>
        <w:t>is important</w:t>
      </w:r>
      <w:r w:rsidR="007A4DCD" w:rsidRPr="00DB5B79">
        <w:rPr>
          <w:rFonts w:ascii="Times New Roman" w:hAnsi="Times New Roman" w:cs="Times New Roman"/>
          <w:bCs/>
          <w:sz w:val="24"/>
          <w:szCs w:val="24"/>
          <w:lang w:val="en-US"/>
        </w:rPr>
        <w:t xml:space="preserve"> to argued about the concept of E I. It seems that the intelligent peoples used their intelligence level to counterbalance their shortcoming in order to achieve the state of well</w:t>
      </w:r>
      <w:r w:rsidRPr="00DB5B79">
        <w:rPr>
          <w:rFonts w:ascii="Times New Roman" w:hAnsi="Times New Roman" w:cs="Times New Roman"/>
          <w:bCs/>
          <w:sz w:val="24"/>
          <w:szCs w:val="24"/>
          <w:lang w:val="en-US"/>
        </w:rPr>
        <w:t>-</w:t>
      </w:r>
      <w:r w:rsidR="007A4DCD" w:rsidRPr="00DB5B79">
        <w:rPr>
          <w:rFonts w:ascii="Times New Roman" w:hAnsi="Times New Roman" w:cs="Times New Roman"/>
          <w:bCs/>
          <w:sz w:val="24"/>
          <w:szCs w:val="24"/>
          <w:lang w:val="en-US"/>
        </w:rPr>
        <w:t>being.</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Religion: Mark delineated the religion as “opiate of masses”, advised that it helped to achieve the notion of the well-being. A number of researches (Ellison, 1991) based on a large sample were conducted and it shows, the well-being was found to be significantly correlated with religion, strengths of </w:t>
      </w:r>
      <w:r w:rsidR="00AA2F16" w:rsidRPr="00DB5B79">
        <w:rPr>
          <w:rFonts w:ascii="Times New Roman" w:hAnsi="Times New Roman" w:cs="Times New Roman"/>
          <w:bCs/>
          <w:sz w:val="24"/>
          <w:szCs w:val="24"/>
          <w:lang w:val="en-US"/>
        </w:rPr>
        <w:t>one’s</w:t>
      </w:r>
      <w:r w:rsidRPr="00DB5B79">
        <w:rPr>
          <w:rFonts w:ascii="Times New Roman" w:hAnsi="Times New Roman" w:cs="Times New Roman"/>
          <w:bCs/>
          <w:sz w:val="24"/>
          <w:szCs w:val="24"/>
          <w:lang w:val="en-US"/>
        </w:rPr>
        <w:t xml:space="preserve"> relations with the providential (Pollner, 1989), Poloma and Pendlenton (1991) prayer experiences and the devotional and participatory dimensions of religiosity. Ellison, Gay and Glass (1989) found that religion puts impact on well</w:t>
      </w:r>
      <w:r w:rsidR="00AA2F16"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while in the controlled conditions of demographic variable like the age, marital status and income.</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Marriage:  marriage is also an important aspect that puts significant impact on the well</w:t>
      </w:r>
      <w:r w:rsidR="00AA2F16"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and Wilson (1967); (Glove and Shin, 1989), Canada (White, 1992) and Norway (Mastkaasa, 1995) stated that there exists an affirmative relation between the marriage and well-being in surveys done in the US. A number of researches revealed that the married person reported a greater happiness as compare to those who were neither married nor the divorced, single or separated. A </w:t>
      </w:r>
      <w:r w:rsidR="001E797B" w:rsidRPr="00DB5B79">
        <w:rPr>
          <w:rFonts w:ascii="Times New Roman" w:hAnsi="Times New Roman" w:cs="Times New Roman"/>
          <w:bCs/>
          <w:sz w:val="24"/>
          <w:szCs w:val="24"/>
          <w:lang w:val="en-US"/>
        </w:rPr>
        <w:t>meta</w:t>
      </w:r>
      <w:r w:rsidR="001274D6" w:rsidRPr="00DB5B79">
        <w:rPr>
          <w:rFonts w:ascii="Times New Roman" w:hAnsi="Times New Roman" w:cs="Times New Roman"/>
          <w:bCs/>
          <w:sz w:val="24"/>
          <w:szCs w:val="24"/>
          <w:lang w:val="en-US"/>
        </w:rPr>
        <w:t>-a</w:t>
      </w:r>
      <w:r w:rsidR="001E797B" w:rsidRPr="00DB5B79">
        <w:rPr>
          <w:rFonts w:ascii="Times New Roman" w:hAnsi="Times New Roman" w:cs="Times New Roman"/>
          <w:bCs/>
          <w:sz w:val="24"/>
          <w:szCs w:val="24"/>
          <w:lang w:val="en-US"/>
        </w:rPr>
        <w:t>nalysis</w:t>
      </w:r>
      <w:r w:rsidRPr="00DB5B79">
        <w:rPr>
          <w:rFonts w:ascii="Times New Roman" w:hAnsi="Times New Roman" w:cs="Times New Roman"/>
          <w:bCs/>
          <w:sz w:val="24"/>
          <w:szCs w:val="24"/>
          <w:lang w:val="en-US"/>
        </w:rPr>
        <w:t xml:space="preserve"> carried out by Haring-Hidare, Stock, Okun and Witter (1985) reported a moderate association  between matrimony status and the well-being.</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Race: Knowing individuals race also gives slight due to the person’s   well-being. In spite of discrimination, people in disadvantaged groups maintain </w:t>
      </w:r>
      <w:r w:rsidR="00AA2F16" w:rsidRPr="00DB5B79">
        <w:rPr>
          <w:rFonts w:ascii="Times New Roman" w:hAnsi="Times New Roman" w:cs="Times New Roman"/>
          <w:bCs/>
          <w:sz w:val="24"/>
          <w:szCs w:val="24"/>
          <w:lang w:val="en-US"/>
        </w:rPr>
        <w:t>self-regard</w:t>
      </w:r>
      <w:r w:rsidRPr="00DB5B79">
        <w:rPr>
          <w:rFonts w:ascii="Times New Roman" w:hAnsi="Times New Roman" w:cs="Times New Roman"/>
          <w:bCs/>
          <w:sz w:val="24"/>
          <w:szCs w:val="24"/>
          <w:lang w:val="en-US"/>
        </w:rPr>
        <w:t xml:space="preserve"> by valuing the things at which they stand out making comparisons within their own group, and by attributing problems to external root such as prejudice (Crocker and Major, 1989).</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Culture: amusingly, nations differ strikingly in happiness. In general, collective cultures regarding lower well-being as compare to the individualist cultures, where the norms are </w:t>
      </w:r>
      <w:r w:rsidRPr="00DB5B79">
        <w:rPr>
          <w:rFonts w:ascii="Times New Roman" w:hAnsi="Times New Roman" w:cs="Times New Roman"/>
          <w:bCs/>
          <w:sz w:val="24"/>
          <w:szCs w:val="24"/>
          <w:lang w:val="en-US"/>
        </w:rPr>
        <w:lastRenderedPageBreak/>
        <w:t xml:space="preserve">more strongly favoured, experienced and expressed the affirmative emotions. National differences appear not to meditate more differences in the interoperated quarries.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Employment Status: Work is the key factor and not only providing social and financial support merely also in keeping the person psychologically fit. Still, with the increasing size of the colossus giant of population, and with the expansions of education which not only make more and more people educated but as </w:t>
      </w:r>
      <w:r w:rsidR="00803AB0" w:rsidRPr="00DB5B79">
        <w:rPr>
          <w:rFonts w:ascii="Times New Roman" w:hAnsi="Times New Roman" w:cs="Times New Roman"/>
          <w:bCs/>
          <w:sz w:val="24"/>
          <w:szCs w:val="24"/>
          <w:lang w:val="en-US"/>
        </w:rPr>
        <w:t>well makes</w:t>
      </w:r>
      <w:r w:rsidRPr="00DB5B79">
        <w:rPr>
          <w:rFonts w:ascii="Times New Roman" w:hAnsi="Times New Roman" w:cs="Times New Roman"/>
          <w:bCs/>
          <w:sz w:val="24"/>
          <w:szCs w:val="24"/>
          <w:lang w:val="en-US"/>
        </w:rPr>
        <w:t xml:space="preserve"> them eligible and aspirant to </w:t>
      </w:r>
      <w:r w:rsidR="00803AB0" w:rsidRPr="00DB5B79">
        <w:rPr>
          <w:rFonts w:ascii="Times New Roman" w:hAnsi="Times New Roman" w:cs="Times New Roman"/>
          <w:bCs/>
          <w:sz w:val="24"/>
          <w:szCs w:val="24"/>
          <w:lang w:val="en-US"/>
        </w:rPr>
        <w:t>acquire a</w:t>
      </w:r>
      <w:r w:rsidRPr="00DB5B79">
        <w:rPr>
          <w:rFonts w:ascii="Times New Roman" w:hAnsi="Times New Roman" w:cs="Times New Roman"/>
          <w:bCs/>
          <w:sz w:val="24"/>
          <w:szCs w:val="24"/>
          <w:lang w:val="en-US"/>
        </w:rPr>
        <w:t xml:space="preserve"> job, chances of getting employment and/or employment chances are gradually becoming dimmer. The problem of joblessness unemployment must not be taken as an economic consequence only because it also has its personal social, psychological and medical issues. Socio-psychological research on unemployment generally reliever lowered life satisfaction, self-esteem, psychological well-being or accumulated psychological distressed and cognitive problems in the joblessness persons (Mohal, 1991).</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Social Support: Accured research in this area as an </w:t>
      </w:r>
      <w:r w:rsidR="00803AB0" w:rsidRPr="00DB5B79">
        <w:rPr>
          <w:rFonts w:ascii="Times New Roman" w:hAnsi="Times New Roman" w:cs="Times New Roman"/>
          <w:bCs/>
          <w:sz w:val="24"/>
          <w:szCs w:val="24"/>
          <w:lang w:val="en-US"/>
        </w:rPr>
        <w:t>entire reveal</w:t>
      </w:r>
      <w:r w:rsidRPr="00DB5B79">
        <w:rPr>
          <w:rFonts w:ascii="Times New Roman" w:hAnsi="Times New Roman" w:cs="Times New Roman"/>
          <w:bCs/>
          <w:sz w:val="24"/>
          <w:szCs w:val="24"/>
          <w:lang w:val="en-US"/>
        </w:rPr>
        <w:t xml:space="preserve"> that social support is related to different indicators of health and well-being. So, persons report happy feelings when they are with someone (Pavot, Diener and Fujita, 1990</w:t>
      </w:r>
      <w:r w:rsidR="00803AB0" w:rsidRPr="00DB5B79">
        <w:rPr>
          <w:rFonts w:ascii="Times New Roman" w:hAnsi="Times New Roman" w:cs="Times New Roman"/>
          <w:bCs/>
          <w:sz w:val="24"/>
          <w:szCs w:val="24"/>
          <w:lang w:val="en-US"/>
        </w:rPr>
        <w:t>). Research</w:t>
      </w:r>
      <w:r w:rsidRPr="00DB5B79">
        <w:rPr>
          <w:rFonts w:ascii="Times New Roman" w:hAnsi="Times New Roman" w:cs="Times New Roman"/>
          <w:bCs/>
          <w:sz w:val="24"/>
          <w:szCs w:val="24"/>
          <w:lang w:val="en-US"/>
        </w:rPr>
        <w:t xml:space="preserve"> conducted by Perlman and Rook (1987) found that the relationship among well-being and social support. Whereas, those who enjoys closest relationships (age, various stresses, loss the job, bereavement, rape &amp; illness).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Life Events: The consequences of life events on well-being </w:t>
      </w:r>
      <w:r w:rsidR="00803AB0" w:rsidRPr="00DB5B79">
        <w:rPr>
          <w:rFonts w:ascii="Times New Roman" w:hAnsi="Times New Roman" w:cs="Times New Roman"/>
          <w:bCs/>
          <w:sz w:val="24"/>
          <w:szCs w:val="24"/>
          <w:lang w:val="en-US"/>
        </w:rPr>
        <w:t>were</w:t>
      </w:r>
      <w:r w:rsidRPr="00DB5B79">
        <w:rPr>
          <w:rFonts w:ascii="Times New Roman" w:hAnsi="Times New Roman" w:cs="Times New Roman"/>
          <w:bCs/>
          <w:sz w:val="24"/>
          <w:szCs w:val="24"/>
          <w:lang w:val="en-US"/>
        </w:rPr>
        <w:t xml:space="preserve"> dig into explored by Suh, Diener, and Fujita (1996) in a longitudinal </w:t>
      </w:r>
      <w:r w:rsidR="00803AB0" w:rsidRPr="00DB5B79">
        <w:rPr>
          <w:rFonts w:ascii="Times New Roman" w:hAnsi="Times New Roman" w:cs="Times New Roman"/>
          <w:bCs/>
          <w:sz w:val="24"/>
          <w:szCs w:val="24"/>
          <w:lang w:val="en-US"/>
        </w:rPr>
        <w:t>study (two</w:t>
      </w:r>
      <w:r w:rsidRPr="00DB5B79">
        <w:rPr>
          <w:rFonts w:ascii="Times New Roman" w:hAnsi="Times New Roman" w:cs="Times New Roman"/>
          <w:bCs/>
          <w:sz w:val="24"/>
          <w:szCs w:val="24"/>
          <w:lang w:val="en-US"/>
        </w:rPr>
        <w:t xml:space="preserve"> year) of N= 115 subjects. It was established that only the life events found to have an influence on life satisfaction, affirmative and harmful affect during the prior 3 months. Well-being can influence only the current and recent life </w:t>
      </w:r>
      <w:r w:rsidR="00803AB0" w:rsidRPr="00DB5B79">
        <w:rPr>
          <w:rFonts w:ascii="Times New Roman" w:hAnsi="Times New Roman" w:cs="Times New Roman"/>
          <w:bCs/>
          <w:sz w:val="24"/>
          <w:szCs w:val="24"/>
          <w:lang w:val="en-US"/>
        </w:rPr>
        <w:t>events;</w:t>
      </w:r>
      <w:r w:rsidRPr="00DB5B79">
        <w:rPr>
          <w:rFonts w:ascii="Times New Roman" w:hAnsi="Times New Roman" w:cs="Times New Roman"/>
          <w:bCs/>
          <w:sz w:val="24"/>
          <w:szCs w:val="24"/>
          <w:lang w:val="en-US"/>
        </w:rPr>
        <w:t xml:space="preserve"> distal life events didn’t correlate with well-being. Never the less, a number of researchers (Costa &amp; McCrae, 1980 &amp; 1984; Costa, McCrae &amp;Zonderman, 1987 &amp; Diener, Sandvik, Pavot &amp; Fujita, 1992) reported that well-being is not determined by external circumstances but by the individual characteristics.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Hence, the well-being is a foggy concept; there is no as well outlined and acceptable definition. In the current inquiry </w:t>
      </w:r>
      <w:r w:rsidR="00803AB0" w:rsidRPr="00DB5B79">
        <w:rPr>
          <w:rFonts w:ascii="Times New Roman" w:hAnsi="Times New Roman" w:cs="Times New Roman"/>
          <w:bCs/>
          <w:sz w:val="24"/>
          <w:szCs w:val="24"/>
          <w:lang w:val="en-US"/>
        </w:rPr>
        <w:t>literature,</w:t>
      </w:r>
      <w:r w:rsidRPr="00DB5B79">
        <w:rPr>
          <w:rFonts w:ascii="Times New Roman" w:hAnsi="Times New Roman" w:cs="Times New Roman"/>
          <w:bCs/>
          <w:sz w:val="24"/>
          <w:szCs w:val="24"/>
          <w:lang w:val="en-US"/>
        </w:rPr>
        <w:t xml:space="preserve"> a person’s position on the dimensions of well-being is seen as a consequent of the individual’s position on two autonomous dimensions- one of affirmative affect and the other of negative </w:t>
      </w:r>
      <w:r w:rsidR="00803AB0" w:rsidRPr="00DB5B79">
        <w:rPr>
          <w:rFonts w:ascii="Times New Roman" w:hAnsi="Times New Roman" w:cs="Times New Roman"/>
          <w:bCs/>
          <w:sz w:val="24"/>
          <w:szCs w:val="24"/>
          <w:lang w:val="en-US"/>
        </w:rPr>
        <w:t>effects</w:t>
      </w:r>
      <w:r w:rsidRPr="00DB5B79">
        <w:rPr>
          <w:rFonts w:ascii="Times New Roman" w:hAnsi="Times New Roman" w:cs="Times New Roman"/>
          <w:bCs/>
          <w:sz w:val="24"/>
          <w:szCs w:val="24"/>
          <w:lang w:val="en-US"/>
        </w:rPr>
        <w:t>. An individual will be high in well-</w:t>
      </w:r>
      <w:r w:rsidRPr="00DB5B79">
        <w:rPr>
          <w:rFonts w:ascii="Times New Roman" w:hAnsi="Times New Roman" w:cs="Times New Roman"/>
          <w:bCs/>
          <w:sz w:val="24"/>
          <w:szCs w:val="24"/>
          <w:lang w:val="en-US"/>
        </w:rPr>
        <w:lastRenderedPageBreak/>
        <w:t>being in the degree to which he has a surplus age of positive over negative affect and will be low on well-being in the dive into to which negative impact predominates over affirmative. Researchers are mainly interested in the assessment of the individual divergence in the feelings because these characteristics are the index for basic psychological functioning and specifically indicating the psychological well-being such as life gratification, optimism, self-esteem and depression).</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Thus, well-being is generally understood as the quality of people’s lives. If it is dynamic state that is enhanced when people can fulfill their personal &amp; educated social needs such as household income resources health status, happiness and life satisfaction.</w:t>
      </w:r>
    </w:p>
    <w:p w:rsidR="007A4DCD" w:rsidRPr="00DB5B79" w:rsidRDefault="007A4DCD" w:rsidP="00A53060">
      <w:pPr>
        <w:spacing w:line="360" w:lineRule="auto"/>
        <w:jc w:val="both"/>
        <w:rPr>
          <w:rFonts w:ascii="Times New Roman" w:hAnsi="Times New Roman" w:cs="Times New Roman"/>
          <w:bCs/>
          <w:sz w:val="24"/>
          <w:szCs w:val="24"/>
          <w:lang w:val="en-GB"/>
        </w:rPr>
      </w:pPr>
      <w:r w:rsidRPr="00DB5B79">
        <w:rPr>
          <w:rFonts w:ascii="Times New Roman" w:hAnsi="Times New Roman" w:cs="Times New Roman"/>
          <w:bCs/>
          <w:sz w:val="24"/>
          <w:szCs w:val="24"/>
          <w:lang w:val="en-GB"/>
        </w:rPr>
        <w:t xml:space="preserve">ACADEMIC ACHIEVEMENT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Achievement refers to the scholastic achievement of the pupils at the end of an educational program or the competence they actually show in the school subjects in which they have received instruction. Achievement is the accomplishment or acquired proficiency in the performance of an individual with respect to a given knowledge or skill. Thus, achievement is the glittering crown which reflects a sense of sincerity, candidness and perseverance on the part of the achievers. The term has been defined by different persons in various ways.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Stagner (1962) defined achievement as a degree of proficiency or progress made by pupils in the mastery of school subjects. According to Crow and Crow (1969) achievement refers to the extent to which a learner gets profit from instructions in a given area of learning i.e. achievement is reflected by the extent to which knowledge or skill has been acquired by a person from the training imparted to him. Saxena and Dwivedi (1979) consider that the term scholastic achievement refers to the attainment or accomplishment in the field where a subject receives some instruction or training. According to Clifford et al. (1986), achievement is the </w:t>
      </w:r>
      <w:r w:rsidR="00803AB0" w:rsidRPr="00DB5B79">
        <w:rPr>
          <w:rFonts w:ascii="Times New Roman" w:hAnsi="Times New Roman" w:cs="Times New Roman"/>
          <w:bCs/>
          <w:sz w:val="24"/>
          <w:szCs w:val="24"/>
          <w:lang w:val="en-US"/>
        </w:rPr>
        <w:t>task-oriented</w:t>
      </w:r>
      <w:r w:rsidRPr="00DB5B79">
        <w:rPr>
          <w:rFonts w:ascii="Times New Roman" w:hAnsi="Times New Roman" w:cs="Times New Roman"/>
          <w:bCs/>
          <w:sz w:val="24"/>
          <w:szCs w:val="24"/>
          <w:lang w:val="en-US"/>
        </w:rPr>
        <w:t xml:space="preserve"> behavior that allows the individual’s performance to be evaluated according to some internally and externally imposed criterion. According to Rao (1980) achievement is concerned to a great extent with the development of knowledge, understanding and acquisition of skills. In the words of Verma and Upadhyay (1981) achievement is the attainment or accomplishment of an individual in some or particular branch of knowledge after a certain period of training. The achievement score of a student indicates towards the future success of the individual.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 xml:space="preserve">Analyzing the definitions mentioned above, we can conclude that academic achievement refers to the level of proficiency attained in academic work or as formally acquired knowledge in school subjects which is determined by the grades, or marks secured by the students in the examination. It reveals the level of educational accomplishment in various subjects taught in educational institution. It also reveals the quantity and quality of learning attained in a subject of study after a period of instruction. Besides being the criterion of promotion to the next class, academic achievement is also an index of future success and determines the pattern of one’s living. In view of this, the factors which play an important role in determining an individual’s academic achievement need to be studied.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 effectiveness of any educational institution is measured by the extent the pupils involved in the system achieve in cognitive, affective and psycho-motor domains. Therefore, academic achievement predictors generally consist of cognitive measures, pertaining to mental ability or intelligence and non-cognitive measures, especially personality traits which continue to support that both cognitive ability factors and certain personality traits consistently predict academic achievement. So, academic achievement can be measured with the help of tests, verbal or written of different kinds. Since academic achievement is the criterion for selection, promotion or recognition in various walks of life, the importance of academic achievement cannot be ignored.</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 xml:space="preserve">Significance of the study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Wellbeing is generally understood as the quality of people’s lives. It is a dynamic state that is enhanced when people can fulfill their personal and social goals. Well-being is a growing area of research. Among the various theoretical perspectives, we highlight the pertinence of dynamic equilibrium theory of wellbeing. Consequently, it was concluded that wellbeing is a centre on a state of equilibrium or balance that can be affected by life events or challenges. A review of previous literature suggests that wellbeing and learning are associated with one another; however, there is less information on how multiple dimensions of wellbeing simultaneously predict later changes in educational outcomes for children and teenagers. This project examines how various dimensions of children’s wellbeing are associated with their educational outcomes, including a review of relevant literature and an analysis using data from the Avon Longitudinal Study of Parents and Children (ALSPAC).</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Impaired academic functioning due to reduced well-being results in significant disadvantages that can extend until well into adulthood. After all, academic success, which is ultimately manifested in acquired school diplomas, is a central resource for the distribution of opportunities in life and perspectives for the future. Academic success has an impact on indicators of material success such as income and social status, as well as on other factors such as physical health, fertility and mate selection. It is possible that the emotions experienced in academic settings might differ from those experienced in extracurricular settings. Still, it can be assumed that there are significant correlations between academic success and general emotions because parental upbringing and a child’s social environment influence the development of cognitive evaluation processes, which in turn lead to specific emotional response tendencies.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Thus, it can be concluded that General well-being is probably one of the most important aspects of human beings and the state of general well-being can be attained in terms of healthy body with healthy mind. Judgements of well-being are irreducibly subjective and that the meaning and content of the terms used seem to fluctuate, depending on who is using it and why it is being used. Keeping in view the importance of general well-being on students’ academic achievement, the investigator </w:t>
      </w:r>
      <w:r w:rsidR="00803AB0" w:rsidRPr="00DB5B79">
        <w:rPr>
          <w:rFonts w:ascii="Times New Roman" w:hAnsi="Times New Roman" w:cs="Times New Roman"/>
          <w:bCs/>
          <w:sz w:val="24"/>
          <w:szCs w:val="24"/>
          <w:lang w:val="en-US"/>
        </w:rPr>
        <w:t>wants</w:t>
      </w:r>
      <w:r w:rsidRPr="00DB5B79">
        <w:rPr>
          <w:rFonts w:ascii="Times New Roman" w:hAnsi="Times New Roman" w:cs="Times New Roman"/>
          <w:bCs/>
          <w:sz w:val="24"/>
          <w:szCs w:val="24"/>
          <w:lang w:val="en-US"/>
        </w:rPr>
        <w:t xml:space="preserve"> to study the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of senior secondary school students and its impact on their academic achievement. </w:t>
      </w:r>
    </w:p>
    <w:p w:rsidR="008A26C8" w:rsidRDefault="008A26C8" w:rsidP="00A53060">
      <w:pPr>
        <w:spacing w:line="360" w:lineRule="auto"/>
        <w:jc w:val="both"/>
        <w:rPr>
          <w:rFonts w:ascii="Times New Roman" w:hAnsi="Times New Roman" w:cs="Times New Roman"/>
          <w:b/>
          <w:sz w:val="24"/>
          <w:szCs w:val="24"/>
          <w:lang w:val="en-US"/>
        </w:rPr>
      </w:pP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Operational definition of the terms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w:t>
      </w:r>
      <w:r w:rsidRPr="00DB5B79">
        <w:rPr>
          <w:rFonts w:ascii="Times New Roman" w:hAnsi="Times New Roman" w:cs="Times New Roman"/>
          <w:bCs/>
          <w:sz w:val="24"/>
          <w:szCs w:val="24"/>
          <w:lang w:val="en-US"/>
        </w:rPr>
        <w:tab/>
        <w:t xml:space="preserve">General Well being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General well-being is understood as the quality of people’s lives. If it is dynamic state that is enhanced when people can fulfill their personal &amp; educated social needs such as household income resources health status, happiness and life satisfaction.</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(ii)</w:t>
      </w:r>
      <w:r w:rsidRPr="00DB5B79">
        <w:rPr>
          <w:rFonts w:ascii="Times New Roman" w:hAnsi="Times New Roman" w:cs="Times New Roman"/>
          <w:bCs/>
          <w:sz w:val="24"/>
          <w:szCs w:val="24"/>
          <w:lang w:val="en-US"/>
        </w:rPr>
        <w:tab/>
        <w:t xml:space="preserve">Academic Achievement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It can be defined as “the knowledge attained or skills developed in school subjects usually designed by the scores or by marks or both assigned by teachers. In the present study academic achievement of the students is determined on the basis of marks obtained in 11</w:t>
      </w:r>
      <w:r w:rsidRPr="00DB5B79">
        <w:rPr>
          <w:rFonts w:ascii="Times New Roman" w:hAnsi="Times New Roman" w:cs="Times New Roman"/>
          <w:bCs/>
          <w:sz w:val="24"/>
          <w:szCs w:val="24"/>
          <w:vertAlign w:val="superscript"/>
          <w:lang w:val="en-US"/>
        </w:rPr>
        <w:t>th</w:t>
      </w:r>
      <w:r w:rsidRPr="00DB5B79">
        <w:rPr>
          <w:rFonts w:ascii="Times New Roman" w:hAnsi="Times New Roman" w:cs="Times New Roman"/>
          <w:bCs/>
          <w:sz w:val="24"/>
          <w:szCs w:val="24"/>
          <w:lang w:val="en-US"/>
        </w:rPr>
        <w:t xml:space="preserve"> class”.</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lastRenderedPageBreak/>
        <w:t>Objectives of the study</w:t>
      </w:r>
    </w:p>
    <w:p w:rsidR="007A4DCD" w:rsidRPr="00DB5B79" w:rsidRDefault="007A4DCD" w:rsidP="00A53060">
      <w:pPr>
        <w:numPr>
          <w:ilvl w:val="0"/>
          <w:numId w:val="1"/>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To compare the academic achievement of male and female senior secondary school students. </w:t>
      </w:r>
    </w:p>
    <w:p w:rsidR="007A4DCD" w:rsidRPr="00DB5B79" w:rsidRDefault="007A4DCD" w:rsidP="00A53060">
      <w:pPr>
        <w:numPr>
          <w:ilvl w:val="0"/>
          <w:numId w:val="1"/>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To compare the level of general well-being of male and female senior secondary school students. </w:t>
      </w:r>
    </w:p>
    <w:p w:rsidR="007A4DCD" w:rsidRPr="00DB5B79" w:rsidRDefault="007A4DCD" w:rsidP="00A53060">
      <w:pPr>
        <w:numPr>
          <w:ilvl w:val="0"/>
          <w:numId w:val="1"/>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To compare the academic achievement of senior secondary school students in relation to their general well-being. </w:t>
      </w:r>
    </w:p>
    <w:p w:rsidR="007A4DCD" w:rsidRPr="00DB5B79" w:rsidRDefault="007A4DCD" w:rsidP="00A53060">
      <w:pPr>
        <w:numPr>
          <w:ilvl w:val="0"/>
          <w:numId w:val="1"/>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To study the relationship between academic achievement and general well-being of senior secondary school students </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 xml:space="preserve">Hypotheses </w:t>
      </w:r>
    </w:p>
    <w:p w:rsidR="007A4DCD" w:rsidRPr="00DB5B79" w:rsidRDefault="007A4DCD" w:rsidP="00A53060">
      <w:pPr>
        <w:numPr>
          <w:ilvl w:val="0"/>
          <w:numId w:val="2"/>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There is no significant difference in academic achievement of male and female senior secondary school students. </w:t>
      </w:r>
    </w:p>
    <w:p w:rsidR="007A4DCD" w:rsidRPr="00DB5B79" w:rsidRDefault="007A4DCD" w:rsidP="00A53060">
      <w:pPr>
        <w:numPr>
          <w:ilvl w:val="0"/>
          <w:numId w:val="2"/>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There is no significant difference in the level of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of male and female senior secondary school students. </w:t>
      </w:r>
    </w:p>
    <w:p w:rsidR="007A4DCD" w:rsidRPr="00DB5B79" w:rsidRDefault="007A4DCD" w:rsidP="00A53060">
      <w:pPr>
        <w:numPr>
          <w:ilvl w:val="0"/>
          <w:numId w:val="2"/>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There is no significant difference in academic achievement of senior secondary school students in relation to their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w:t>
      </w:r>
    </w:p>
    <w:p w:rsidR="007A4DCD" w:rsidRPr="00DB5B79" w:rsidRDefault="007A4DCD" w:rsidP="00A53060">
      <w:pPr>
        <w:numPr>
          <w:ilvl w:val="0"/>
          <w:numId w:val="2"/>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There is no significant relationship between academic </w:t>
      </w:r>
      <w:r w:rsidR="00803AB0" w:rsidRPr="00DB5B79">
        <w:rPr>
          <w:rFonts w:ascii="Times New Roman" w:hAnsi="Times New Roman" w:cs="Times New Roman"/>
          <w:bCs/>
          <w:sz w:val="24"/>
          <w:szCs w:val="24"/>
          <w:lang w:val="en-US"/>
        </w:rPr>
        <w:t>achievement and</w:t>
      </w:r>
      <w:r w:rsidRPr="00DB5B79">
        <w:rPr>
          <w:rFonts w:ascii="Times New Roman" w:hAnsi="Times New Roman" w:cs="Times New Roman"/>
          <w:bCs/>
          <w:sz w:val="24"/>
          <w:szCs w:val="24"/>
          <w:lang w:val="en-US"/>
        </w:rPr>
        <w:t xml:space="preserve"> general well-being of senior secondary school students </w:t>
      </w:r>
    </w:p>
    <w:p w:rsidR="007A4DCD" w:rsidRPr="00DB5B79" w:rsidRDefault="00E64338"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M</w:t>
      </w:r>
      <w:r w:rsidR="007A4DCD" w:rsidRPr="00DB5B79">
        <w:rPr>
          <w:rFonts w:ascii="Times New Roman" w:hAnsi="Times New Roman" w:cs="Times New Roman"/>
          <w:b/>
          <w:sz w:val="24"/>
          <w:szCs w:val="24"/>
          <w:lang w:val="en-US"/>
        </w:rPr>
        <w:t>ethod</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Descriptive survey method has been used in the present study.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Population and sample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The population of the present study comprised all the senior secondary school students of Gurugram. the sample was selected on the basis of random sampling technique. For the purpose of this study, a sample of 120 students (60 male and 60 female) from two government and private senior secondary schools were selected through random sampling method. </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lastRenderedPageBreak/>
        <w:t>Tools used</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w:t>
      </w:r>
      <w:r w:rsidRPr="00DB5B79">
        <w:rPr>
          <w:rFonts w:ascii="Times New Roman" w:hAnsi="Times New Roman" w:cs="Times New Roman"/>
          <w:bCs/>
          <w:sz w:val="24"/>
          <w:szCs w:val="24"/>
          <w:lang w:val="en-US"/>
        </w:rPr>
        <w:tab/>
        <w:t>General Well-Being Scale (GWBS) by Dr. Ashok K. Kalia and Ms. Anita Deswal (2010) will be used for data collection</w:t>
      </w:r>
      <w:r w:rsidRPr="00DB5B79">
        <w:rPr>
          <w:rFonts w:ascii="Times New Roman" w:hAnsi="Times New Roman" w:cs="Times New Roman"/>
          <w:bCs/>
          <w:sz w:val="24"/>
          <w:szCs w:val="24"/>
          <w:lang w:val="en-US"/>
        </w:rPr>
        <w:tab/>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w:t>
      </w:r>
      <w:r w:rsidRPr="00DB5B79">
        <w:rPr>
          <w:rFonts w:ascii="Times New Roman" w:hAnsi="Times New Roman" w:cs="Times New Roman"/>
          <w:bCs/>
          <w:sz w:val="24"/>
          <w:szCs w:val="24"/>
          <w:lang w:val="en-US"/>
        </w:rPr>
        <w:tab/>
        <w:t xml:space="preserve">Obtained marks of previous class result have been treated as academic achievement score. </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Statistical Techniques Used</w:t>
      </w:r>
    </w:p>
    <w:p w:rsidR="00593214" w:rsidRPr="00DB5B79" w:rsidRDefault="00593214"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Analysis of data</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 present study was conducted with the aim of examining the significant difference and relationship in general well-being and academic achievement of senior secondary school students. The obtained results are given in tables below:</w:t>
      </w:r>
    </w:p>
    <w:p w:rsidR="00593214" w:rsidRPr="00DB5B79" w:rsidRDefault="00593214" w:rsidP="00A53060">
      <w:pPr>
        <w:spacing w:line="360" w:lineRule="auto"/>
        <w:jc w:val="center"/>
        <w:rPr>
          <w:rFonts w:ascii="Times New Roman" w:hAnsi="Times New Roman" w:cs="Times New Roman"/>
          <w:b/>
          <w:sz w:val="24"/>
          <w:szCs w:val="24"/>
          <w:lang w:val="en-US"/>
        </w:rPr>
      </w:pPr>
      <w:r w:rsidRPr="00DB5B79">
        <w:rPr>
          <w:rFonts w:ascii="Times New Roman" w:hAnsi="Times New Roman" w:cs="Times New Roman"/>
          <w:b/>
          <w:sz w:val="24"/>
          <w:szCs w:val="24"/>
          <w:lang w:val="en-US"/>
        </w:rPr>
        <w:t>Table</w:t>
      </w:r>
      <w:r w:rsidR="00FE2769" w:rsidRPr="00DB5B79">
        <w:rPr>
          <w:rFonts w:ascii="Times New Roman" w:hAnsi="Times New Roman" w:cs="Times New Roman"/>
          <w:b/>
          <w:sz w:val="24"/>
          <w:szCs w:val="24"/>
          <w:lang w:val="en-US"/>
        </w:rPr>
        <w:t>:</w:t>
      </w:r>
      <w:r w:rsidRPr="00DB5B79">
        <w:rPr>
          <w:rFonts w:ascii="Times New Roman" w:hAnsi="Times New Roman" w:cs="Times New Roman"/>
          <w:b/>
          <w:sz w:val="24"/>
          <w:szCs w:val="24"/>
          <w:lang w:val="en-US"/>
        </w:rPr>
        <w:t>1</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Mean, Standard Deviation and ‘t’ value of Academic Achievement of senior secondary school students </w:t>
      </w:r>
    </w:p>
    <w:tbl>
      <w:tblPr>
        <w:tblpPr w:leftFromText="180" w:rightFromText="180" w:vertAnchor="text" w:horzAnchor="margin" w:tblpY="-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4"/>
        <w:gridCol w:w="1436"/>
        <w:gridCol w:w="1758"/>
        <w:gridCol w:w="1458"/>
        <w:gridCol w:w="2076"/>
      </w:tblGrid>
      <w:tr w:rsidR="00FE2769" w:rsidRPr="00DB5B79" w:rsidTr="00FE2769">
        <w:tc>
          <w:tcPr>
            <w:tcW w:w="1360"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Variables</w:t>
            </w:r>
          </w:p>
        </w:tc>
        <w:tc>
          <w:tcPr>
            <w:tcW w:w="777"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N</w:t>
            </w:r>
          </w:p>
        </w:tc>
        <w:tc>
          <w:tcPr>
            <w:tcW w:w="951"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Means</w:t>
            </w:r>
          </w:p>
        </w:tc>
        <w:tc>
          <w:tcPr>
            <w:tcW w:w="789"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SD’s</w:t>
            </w:r>
          </w:p>
        </w:tc>
        <w:tc>
          <w:tcPr>
            <w:tcW w:w="1123"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 value</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Male students </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60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312.2</w:t>
            </w:r>
            <w:r w:rsidR="0082033C" w:rsidRPr="00DB5B79">
              <w:rPr>
                <w:rFonts w:ascii="Times New Roman" w:hAnsi="Times New Roman" w:cs="Times New Roman"/>
                <w:bCs/>
                <w:sz w:val="24"/>
                <w:szCs w:val="24"/>
                <w:lang w:val="en-US"/>
              </w:rPr>
              <w:t>8</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32.9</w:t>
            </w:r>
            <w:r w:rsidR="0082033C" w:rsidRPr="00DB5B79">
              <w:rPr>
                <w:rFonts w:ascii="Times New Roman" w:hAnsi="Times New Roman" w:cs="Times New Roman"/>
                <w:bCs/>
                <w:sz w:val="24"/>
                <w:szCs w:val="24"/>
                <w:lang w:val="en-US"/>
              </w:rPr>
              <w:t>5</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2.16</w:t>
            </w:r>
            <w:r w:rsidR="0082033C" w:rsidRPr="00DB5B79">
              <w:rPr>
                <w:rFonts w:ascii="Times New Roman" w:hAnsi="Times New Roman" w:cs="Times New Roman"/>
                <w:bCs/>
                <w:sz w:val="24"/>
                <w:szCs w:val="24"/>
                <w:lang w:val="en-US"/>
              </w:rPr>
              <w:t>7</w:t>
            </w:r>
            <w:r w:rsidRPr="00DB5B79">
              <w:rPr>
                <w:rFonts w:ascii="Times New Roman" w:hAnsi="Times New Roman" w:cs="Times New Roman"/>
                <w:bCs/>
                <w:sz w:val="24"/>
                <w:szCs w:val="24"/>
                <w:lang w:val="en-US"/>
              </w:rPr>
              <w:t>*</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Female students </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60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321.7</w:t>
            </w:r>
            <w:r w:rsidR="0082033C" w:rsidRPr="00DB5B79">
              <w:rPr>
                <w:rFonts w:ascii="Times New Roman" w:hAnsi="Times New Roman" w:cs="Times New Roman"/>
                <w:bCs/>
                <w:sz w:val="24"/>
                <w:szCs w:val="24"/>
                <w:lang w:val="en-US"/>
              </w:rPr>
              <w:t>4</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47.2</w:t>
            </w:r>
            <w:r w:rsidR="0082033C" w:rsidRPr="00DB5B79">
              <w:rPr>
                <w:rFonts w:ascii="Times New Roman" w:hAnsi="Times New Roman" w:cs="Times New Roman"/>
                <w:bCs/>
                <w:sz w:val="24"/>
                <w:szCs w:val="24"/>
                <w:lang w:val="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p>
        </w:tc>
      </w:tr>
    </w:tbl>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*Significant at 0.05 level</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Table</w:t>
      </w:r>
      <w:r w:rsidR="00FE2769"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1 reveals that t-value (2.16</w:t>
      </w:r>
      <w:r w:rsidR="0082033C" w:rsidRPr="00DB5B79">
        <w:rPr>
          <w:rFonts w:ascii="Times New Roman" w:hAnsi="Times New Roman" w:cs="Times New Roman"/>
          <w:bCs/>
          <w:sz w:val="24"/>
          <w:szCs w:val="24"/>
          <w:lang w:val="en-US"/>
        </w:rPr>
        <w:t>7</w:t>
      </w:r>
      <w:r w:rsidRPr="00DB5B79">
        <w:rPr>
          <w:rFonts w:ascii="Times New Roman" w:hAnsi="Times New Roman" w:cs="Times New Roman"/>
          <w:bCs/>
          <w:sz w:val="24"/>
          <w:szCs w:val="24"/>
          <w:lang w:val="en-US"/>
        </w:rPr>
        <w:t xml:space="preserve">) for the mean scores of academic </w:t>
      </w:r>
      <w:r w:rsidR="00252B1F" w:rsidRPr="00DB5B79">
        <w:rPr>
          <w:rFonts w:ascii="Times New Roman" w:hAnsi="Times New Roman" w:cs="Times New Roman"/>
          <w:bCs/>
          <w:sz w:val="24"/>
          <w:szCs w:val="24"/>
          <w:lang w:val="en-US"/>
        </w:rPr>
        <w:t>achievements</w:t>
      </w:r>
      <w:r w:rsidRPr="00DB5B79">
        <w:rPr>
          <w:rFonts w:ascii="Times New Roman" w:hAnsi="Times New Roman" w:cs="Times New Roman"/>
          <w:bCs/>
          <w:sz w:val="24"/>
          <w:szCs w:val="24"/>
          <w:lang w:val="en-US"/>
        </w:rPr>
        <w:t xml:space="preserve"> between male and female senior secondary school students is significant at 0.05 level of significance as the tabulated values of ‘t’ is 1.96 at 0.05 level of significance.  Hence, the null hypotheses framed earlier “There is no significant difference in academic achievement of male and female senior secondary school students” is rejected.  It was found that the mean score of academic achievement of female students (321.7</w:t>
      </w:r>
      <w:r w:rsidR="0082033C" w:rsidRPr="00DB5B79">
        <w:rPr>
          <w:rFonts w:ascii="Times New Roman" w:hAnsi="Times New Roman" w:cs="Times New Roman"/>
          <w:bCs/>
          <w:sz w:val="24"/>
          <w:szCs w:val="24"/>
          <w:lang w:val="en-US"/>
        </w:rPr>
        <w:t>4</w:t>
      </w:r>
      <w:r w:rsidRPr="00DB5B79">
        <w:rPr>
          <w:rFonts w:ascii="Times New Roman" w:hAnsi="Times New Roman" w:cs="Times New Roman"/>
          <w:bCs/>
          <w:sz w:val="24"/>
          <w:szCs w:val="24"/>
          <w:lang w:val="en-US"/>
        </w:rPr>
        <w:t>) is higher than male students (312.2</w:t>
      </w:r>
      <w:r w:rsidR="0082033C" w:rsidRPr="00DB5B79">
        <w:rPr>
          <w:rFonts w:ascii="Times New Roman" w:hAnsi="Times New Roman" w:cs="Times New Roman"/>
          <w:bCs/>
          <w:sz w:val="24"/>
          <w:szCs w:val="24"/>
          <w:lang w:val="en-US"/>
        </w:rPr>
        <w:t>8</w:t>
      </w:r>
      <w:r w:rsidRPr="00DB5B79">
        <w:rPr>
          <w:rFonts w:ascii="Times New Roman" w:hAnsi="Times New Roman" w:cs="Times New Roman"/>
          <w:bCs/>
          <w:sz w:val="24"/>
          <w:szCs w:val="24"/>
          <w:lang w:val="en-US"/>
        </w:rPr>
        <w:t xml:space="preserve">). It may therefore be concluded that female students have good academic achievement in comparison to male students.   </w:t>
      </w:r>
    </w:p>
    <w:p w:rsidR="00593214" w:rsidRPr="00DB5B79" w:rsidRDefault="00593214" w:rsidP="00A53060">
      <w:pPr>
        <w:spacing w:line="360" w:lineRule="auto"/>
        <w:jc w:val="center"/>
        <w:rPr>
          <w:rFonts w:ascii="Times New Roman" w:hAnsi="Times New Roman" w:cs="Times New Roman"/>
          <w:b/>
          <w:sz w:val="24"/>
          <w:szCs w:val="24"/>
          <w:lang w:val="en-US"/>
        </w:rPr>
      </w:pPr>
      <w:r w:rsidRPr="00DB5B79">
        <w:rPr>
          <w:rFonts w:ascii="Times New Roman" w:hAnsi="Times New Roman" w:cs="Times New Roman"/>
          <w:b/>
          <w:sz w:val="24"/>
          <w:szCs w:val="24"/>
          <w:lang w:val="en-US"/>
        </w:rPr>
        <w:lastRenderedPageBreak/>
        <w:t>Table</w:t>
      </w:r>
      <w:r w:rsidR="00FE2769" w:rsidRPr="00DB5B79">
        <w:rPr>
          <w:rFonts w:ascii="Times New Roman" w:hAnsi="Times New Roman" w:cs="Times New Roman"/>
          <w:b/>
          <w:sz w:val="24"/>
          <w:szCs w:val="24"/>
          <w:lang w:val="en-US"/>
        </w:rPr>
        <w:t>:</w:t>
      </w:r>
      <w:r w:rsidRPr="00DB5B79">
        <w:rPr>
          <w:rFonts w:ascii="Times New Roman" w:hAnsi="Times New Roman" w:cs="Times New Roman"/>
          <w:b/>
          <w:sz w:val="24"/>
          <w:szCs w:val="24"/>
          <w:lang w:val="en-US"/>
        </w:rPr>
        <w:t>2</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Mean, Standard Deviation and ‘t’ value of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of senior secondary school students </w:t>
      </w:r>
    </w:p>
    <w:tbl>
      <w:tblPr>
        <w:tblpPr w:leftFromText="180" w:rightFromText="180" w:vertAnchor="text" w:horzAnchor="margin" w:tblpY="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4"/>
        <w:gridCol w:w="1436"/>
        <w:gridCol w:w="1758"/>
        <w:gridCol w:w="1458"/>
        <w:gridCol w:w="2076"/>
      </w:tblGrid>
      <w:tr w:rsidR="00FE2769" w:rsidRPr="00DB5B79" w:rsidTr="00FE2769">
        <w:tc>
          <w:tcPr>
            <w:tcW w:w="1360"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Variables</w:t>
            </w:r>
          </w:p>
        </w:tc>
        <w:tc>
          <w:tcPr>
            <w:tcW w:w="777"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N</w:t>
            </w:r>
          </w:p>
        </w:tc>
        <w:tc>
          <w:tcPr>
            <w:tcW w:w="951"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Means</w:t>
            </w:r>
          </w:p>
        </w:tc>
        <w:tc>
          <w:tcPr>
            <w:tcW w:w="789"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SD’s</w:t>
            </w:r>
          </w:p>
        </w:tc>
        <w:tc>
          <w:tcPr>
            <w:tcW w:w="1123"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 value </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Male students </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50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154.8</w:t>
            </w:r>
            <w:r w:rsidR="0082033C" w:rsidRPr="00DB5B79">
              <w:rPr>
                <w:rFonts w:ascii="Times New Roman" w:hAnsi="Times New Roman" w:cs="Times New Roman"/>
                <w:bCs/>
                <w:sz w:val="24"/>
                <w:szCs w:val="24"/>
                <w:lang w:val="en-US"/>
              </w:rPr>
              <w:t>4</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12.6</w:t>
            </w:r>
            <w:r w:rsidR="0082033C" w:rsidRPr="00DB5B79">
              <w:rPr>
                <w:rFonts w:ascii="Times New Roman" w:hAnsi="Times New Roman" w:cs="Times New Roman"/>
                <w:bCs/>
                <w:sz w:val="24"/>
                <w:szCs w:val="24"/>
                <w:lang w:val="en-US"/>
              </w:rPr>
              <w:t>6</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2.63</w:t>
            </w:r>
            <w:r w:rsidR="0082033C" w:rsidRPr="00DB5B79">
              <w:rPr>
                <w:rFonts w:ascii="Times New Roman" w:hAnsi="Times New Roman" w:cs="Times New Roman"/>
                <w:bCs/>
                <w:sz w:val="24"/>
                <w:szCs w:val="24"/>
                <w:lang w:val="en-US"/>
              </w:rPr>
              <w:t>1</w:t>
            </w:r>
            <w:r w:rsidRPr="00DB5B79">
              <w:rPr>
                <w:rFonts w:ascii="Times New Roman" w:hAnsi="Times New Roman" w:cs="Times New Roman"/>
                <w:bCs/>
                <w:sz w:val="24"/>
                <w:szCs w:val="24"/>
                <w:lang w:val="en-US"/>
              </w:rPr>
              <w:t>**</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Female students </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50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149.6</w:t>
            </w:r>
            <w:r w:rsidR="0082033C" w:rsidRPr="00DB5B79">
              <w:rPr>
                <w:rFonts w:ascii="Times New Roman" w:hAnsi="Times New Roman" w:cs="Times New Roman"/>
                <w:bCs/>
                <w:sz w:val="24"/>
                <w:szCs w:val="24"/>
                <w:lang w:val="en-US"/>
              </w:rPr>
              <w:t>2</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20.2</w:t>
            </w:r>
            <w:r w:rsidR="0082033C" w:rsidRPr="00DB5B79">
              <w:rPr>
                <w:rFonts w:ascii="Times New Roman" w:hAnsi="Times New Roman" w:cs="Times New Roman"/>
                <w:bCs/>
                <w:sz w:val="24"/>
                <w:szCs w:val="24"/>
                <w:lang w:val="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p>
        </w:tc>
      </w:tr>
    </w:tbl>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**Significant at 0.01 level</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Table</w:t>
      </w:r>
      <w:r w:rsidR="00FE2769"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2 reveals that t-value (2.63</w:t>
      </w:r>
      <w:r w:rsidR="0082033C" w:rsidRPr="00DB5B79">
        <w:rPr>
          <w:rFonts w:ascii="Times New Roman" w:hAnsi="Times New Roman" w:cs="Times New Roman"/>
          <w:bCs/>
          <w:sz w:val="24"/>
          <w:szCs w:val="24"/>
          <w:lang w:val="en-US"/>
        </w:rPr>
        <w:t>1</w:t>
      </w:r>
      <w:r w:rsidRPr="00DB5B79">
        <w:rPr>
          <w:rFonts w:ascii="Times New Roman" w:hAnsi="Times New Roman" w:cs="Times New Roman"/>
          <w:bCs/>
          <w:sz w:val="24"/>
          <w:szCs w:val="24"/>
          <w:lang w:val="en-US"/>
        </w:rPr>
        <w:t>) for the mean scores of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between male and female senior secondary school students is significant at 0.01 level of significance as the tabulated values of ‘t’ is 1.96 at 0.05 and 2.58 at 0.01 level of significance.  Hence, the null hypotheses framed earlier” There is no significant difference in general well-being of male and female senior secondary school students” is rejected. It was found that the mean score of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of male students (154.8</w:t>
      </w:r>
      <w:r w:rsidR="0082033C" w:rsidRPr="00DB5B79">
        <w:rPr>
          <w:rFonts w:ascii="Times New Roman" w:hAnsi="Times New Roman" w:cs="Times New Roman"/>
          <w:bCs/>
          <w:sz w:val="24"/>
          <w:szCs w:val="24"/>
          <w:lang w:val="en-US"/>
        </w:rPr>
        <w:t>4</w:t>
      </w:r>
      <w:r w:rsidRPr="00DB5B79">
        <w:rPr>
          <w:rFonts w:ascii="Times New Roman" w:hAnsi="Times New Roman" w:cs="Times New Roman"/>
          <w:bCs/>
          <w:sz w:val="24"/>
          <w:szCs w:val="24"/>
          <w:lang w:val="en-US"/>
        </w:rPr>
        <w:t>) is higher than female students (149.6</w:t>
      </w:r>
      <w:r w:rsidR="0082033C" w:rsidRPr="00DB5B79">
        <w:rPr>
          <w:rFonts w:ascii="Times New Roman" w:hAnsi="Times New Roman" w:cs="Times New Roman"/>
          <w:bCs/>
          <w:sz w:val="24"/>
          <w:szCs w:val="24"/>
          <w:lang w:val="en-US"/>
        </w:rPr>
        <w:t>2</w:t>
      </w:r>
      <w:r w:rsidRPr="00DB5B79">
        <w:rPr>
          <w:rFonts w:ascii="Times New Roman" w:hAnsi="Times New Roman" w:cs="Times New Roman"/>
          <w:bCs/>
          <w:sz w:val="24"/>
          <w:szCs w:val="24"/>
          <w:lang w:val="en-US"/>
        </w:rPr>
        <w:t>). It may therefore be concluded that male students have good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in comparison to female students.   </w:t>
      </w:r>
    </w:p>
    <w:p w:rsidR="00593214" w:rsidRPr="00DB5B79" w:rsidRDefault="00593214" w:rsidP="00A53060">
      <w:pPr>
        <w:spacing w:line="360" w:lineRule="auto"/>
        <w:jc w:val="center"/>
        <w:rPr>
          <w:rFonts w:ascii="Times New Roman" w:hAnsi="Times New Roman" w:cs="Times New Roman"/>
          <w:b/>
          <w:sz w:val="24"/>
          <w:szCs w:val="24"/>
          <w:lang w:val="en-US"/>
        </w:rPr>
      </w:pPr>
      <w:r w:rsidRPr="00DB5B79">
        <w:rPr>
          <w:rFonts w:ascii="Times New Roman" w:hAnsi="Times New Roman" w:cs="Times New Roman"/>
          <w:b/>
          <w:sz w:val="24"/>
          <w:szCs w:val="24"/>
          <w:lang w:val="en-US"/>
        </w:rPr>
        <w:t>Table</w:t>
      </w:r>
      <w:r w:rsidR="00FE2769" w:rsidRPr="00DB5B79">
        <w:rPr>
          <w:rFonts w:ascii="Times New Roman" w:hAnsi="Times New Roman" w:cs="Times New Roman"/>
          <w:b/>
          <w:sz w:val="24"/>
          <w:szCs w:val="24"/>
          <w:lang w:val="en-US"/>
        </w:rPr>
        <w:t>:</w:t>
      </w:r>
      <w:r w:rsidRPr="00DB5B79">
        <w:rPr>
          <w:rFonts w:ascii="Times New Roman" w:hAnsi="Times New Roman" w:cs="Times New Roman"/>
          <w:b/>
          <w:sz w:val="24"/>
          <w:szCs w:val="24"/>
          <w:lang w:val="en-US"/>
        </w:rPr>
        <w:t>3</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Mean, Standard Deviation and ‘t’ value of academic achievement of senior secondary school students in relation to their general well being</w:t>
      </w:r>
    </w:p>
    <w:tbl>
      <w:tblPr>
        <w:tblpPr w:leftFromText="180" w:rightFromText="180" w:vertAnchor="text" w:horzAnchor="margin" w:tblpY="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4"/>
        <w:gridCol w:w="1436"/>
        <w:gridCol w:w="1758"/>
        <w:gridCol w:w="1458"/>
        <w:gridCol w:w="2076"/>
      </w:tblGrid>
      <w:tr w:rsidR="00FE2769" w:rsidRPr="00DB5B79" w:rsidTr="00FE2769">
        <w:tc>
          <w:tcPr>
            <w:tcW w:w="1360"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Variables</w:t>
            </w:r>
          </w:p>
        </w:tc>
        <w:tc>
          <w:tcPr>
            <w:tcW w:w="777"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N</w:t>
            </w:r>
          </w:p>
        </w:tc>
        <w:tc>
          <w:tcPr>
            <w:tcW w:w="951"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Means</w:t>
            </w:r>
          </w:p>
        </w:tc>
        <w:tc>
          <w:tcPr>
            <w:tcW w:w="789"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SD’s</w:t>
            </w:r>
          </w:p>
        </w:tc>
        <w:tc>
          <w:tcPr>
            <w:tcW w:w="1123"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 value </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Low General Well-being</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31</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281.7</w:t>
            </w:r>
            <w:r w:rsidR="0082033C" w:rsidRPr="00DB5B79">
              <w:rPr>
                <w:rFonts w:ascii="Times New Roman" w:hAnsi="Times New Roman" w:cs="Times New Roman"/>
                <w:bCs/>
                <w:sz w:val="24"/>
                <w:szCs w:val="24"/>
                <w:lang w:val="en-US"/>
              </w:rPr>
              <w:t>1</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25.5</w:t>
            </w:r>
            <w:r w:rsidR="0082033C" w:rsidRPr="00DB5B79">
              <w:rPr>
                <w:rFonts w:ascii="Times New Roman" w:hAnsi="Times New Roman" w:cs="Times New Roman"/>
                <w:bCs/>
                <w:sz w:val="24"/>
                <w:szCs w:val="24"/>
                <w:lang w:val="en-US"/>
              </w:rPr>
              <w:t>7</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8.32</w:t>
            </w:r>
            <w:r w:rsidR="0082033C" w:rsidRPr="00DB5B79">
              <w:rPr>
                <w:rFonts w:ascii="Times New Roman" w:hAnsi="Times New Roman" w:cs="Times New Roman"/>
                <w:bCs/>
                <w:sz w:val="24"/>
                <w:szCs w:val="24"/>
                <w:lang w:val="en-US"/>
              </w:rPr>
              <w:t>6</w:t>
            </w:r>
            <w:r w:rsidRPr="00DB5B79">
              <w:rPr>
                <w:rFonts w:ascii="Times New Roman" w:hAnsi="Times New Roman" w:cs="Times New Roman"/>
                <w:bCs/>
                <w:sz w:val="24"/>
                <w:szCs w:val="24"/>
                <w:lang w:val="en-US"/>
              </w:rPr>
              <w:t>**</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High General well-being</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50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343.8</w:t>
            </w:r>
            <w:r w:rsidR="0082033C" w:rsidRPr="00DB5B79">
              <w:rPr>
                <w:rFonts w:ascii="Times New Roman" w:hAnsi="Times New Roman" w:cs="Times New Roman"/>
                <w:bCs/>
                <w:sz w:val="24"/>
                <w:szCs w:val="24"/>
                <w:lang w:val="en-US"/>
              </w:rPr>
              <w:t>3</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35.9</w:t>
            </w:r>
            <w:r w:rsidR="0082033C" w:rsidRPr="00DB5B79">
              <w:rPr>
                <w:rFonts w:ascii="Times New Roman" w:hAnsi="Times New Roman" w:cs="Times New Roman"/>
                <w:bCs/>
                <w:sz w:val="24"/>
                <w:szCs w:val="24"/>
                <w:lang w:val="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p>
        </w:tc>
      </w:tr>
    </w:tbl>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**Significant at 0.01 level</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Note: Only students having low and high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were taken</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Table</w:t>
      </w:r>
      <w:r w:rsidR="00FE2769"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3 reveals that t-value (8.32</w:t>
      </w:r>
      <w:r w:rsidR="0082033C" w:rsidRPr="00DB5B79">
        <w:rPr>
          <w:rFonts w:ascii="Times New Roman" w:hAnsi="Times New Roman" w:cs="Times New Roman"/>
          <w:bCs/>
          <w:sz w:val="24"/>
          <w:szCs w:val="24"/>
          <w:lang w:val="en-US"/>
        </w:rPr>
        <w:t>6</w:t>
      </w:r>
      <w:r w:rsidRPr="00DB5B79">
        <w:rPr>
          <w:rFonts w:ascii="Times New Roman" w:hAnsi="Times New Roman" w:cs="Times New Roman"/>
          <w:bCs/>
          <w:sz w:val="24"/>
          <w:szCs w:val="24"/>
          <w:lang w:val="en-US"/>
        </w:rPr>
        <w:t xml:space="preserve">) for the mean scores of academic </w:t>
      </w:r>
      <w:r w:rsidR="00803AB0" w:rsidRPr="00DB5B79">
        <w:rPr>
          <w:rFonts w:ascii="Times New Roman" w:hAnsi="Times New Roman" w:cs="Times New Roman"/>
          <w:bCs/>
          <w:sz w:val="24"/>
          <w:szCs w:val="24"/>
          <w:lang w:val="en-US"/>
        </w:rPr>
        <w:t>achievement of</w:t>
      </w:r>
      <w:r w:rsidRPr="00DB5B79">
        <w:rPr>
          <w:rFonts w:ascii="Times New Roman" w:hAnsi="Times New Roman" w:cs="Times New Roman"/>
          <w:bCs/>
          <w:sz w:val="24"/>
          <w:szCs w:val="24"/>
          <w:lang w:val="en-US"/>
        </w:rPr>
        <w:t xml:space="preserve"> senior secondary school students having low and high general well-being is significant at 0.01 level of significance as the tabulated values of ‘t’ is 1.96 at 0.05 and 2.58 at 0.01 level of significance.  Hence, the null hypotheses framed earlier” There is no significant difference in academic achievement of senior secondary school students in relation to their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is rejected. It was found that the mean score of academic achievement score of senior secondary school students </w:t>
      </w:r>
      <w:r w:rsidR="00803AB0" w:rsidRPr="00DB5B79">
        <w:rPr>
          <w:rFonts w:ascii="Times New Roman" w:hAnsi="Times New Roman" w:cs="Times New Roman"/>
          <w:bCs/>
          <w:sz w:val="24"/>
          <w:szCs w:val="24"/>
          <w:lang w:val="en-US"/>
        </w:rPr>
        <w:t>having low</w:t>
      </w:r>
      <w:r w:rsidRPr="00DB5B79">
        <w:rPr>
          <w:rFonts w:ascii="Times New Roman" w:hAnsi="Times New Roman" w:cs="Times New Roman"/>
          <w:bCs/>
          <w:sz w:val="24"/>
          <w:szCs w:val="24"/>
          <w:lang w:val="en-US"/>
        </w:rPr>
        <w:t xml:space="preserve"> general well-being (281.7</w:t>
      </w:r>
      <w:r w:rsidR="0082033C" w:rsidRPr="00DB5B79">
        <w:rPr>
          <w:rFonts w:ascii="Times New Roman" w:hAnsi="Times New Roman" w:cs="Times New Roman"/>
          <w:bCs/>
          <w:sz w:val="24"/>
          <w:szCs w:val="24"/>
          <w:lang w:val="en-US"/>
        </w:rPr>
        <w:t>1</w:t>
      </w:r>
      <w:r w:rsidR="00803AB0" w:rsidRPr="00DB5B79">
        <w:rPr>
          <w:rFonts w:ascii="Times New Roman" w:hAnsi="Times New Roman" w:cs="Times New Roman"/>
          <w:bCs/>
          <w:sz w:val="24"/>
          <w:szCs w:val="24"/>
          <w:lang w:val="en-US"/>
        </w:rPr>
        <w:t>) is</w:t>
      </w:r>
      <w:r w:rsidRPr="00DB5B79">
        <w:rPr>
          <w:rFonts w:ascii="Times New Roman" w:hAnsi="Times New Roman" w:cs="Times New Roman"/>
          <w:bCs/>
          <w:sz w:val="24"/>
          <w:szCs w:val="24"/>
          <w:lang w:val="en-US"/>
        </w:rPr>
        <w:t xml:space="preserve"> less than the senior secondary school students </w:t>
      </w:r>
      <w:r w:rsidR="00803AB0" w:rsidRPr="00DB5B79">
        <w:rPr>
          <w:rFonts w:ascii="Times New Roman" w:hAnsi="Times New Roman" w:cs="Times New Roman"/>
          <w:bCs/>
          <w:sz w:val="24"/>
          <w:szCs w:val="24"/>
          <w:lang w:val="en-US"/>
        </w:rPr>
        <w:t>having high</w:t>
      </w:r>
      <w:r w:rsidRPr="00DB5B79">
        <w:rPr>
          <w:rFonts w:ascii="Times New Roman" w:hAnsi="Times New Roman" w:cs="Times New Roman"/>
          <w:bCs/>
          <w:sz w:val="24"/>
          <w:szCs w:val="24"/>
          <w:lang w:val="en-US"/>
        </w:rPr>
        <w:t xml:space="preserve"> general well-being (343.8</w:t>
      </w:r>
      <w:r w:rsidR="0082033C" w:rsidRPr="00DB5B79">
        <w:rPr>
          <w:rFonts w:ascii="Times New Roman" w:hAnsi="Times New Roman" w:cs="Times New Roman"/>
          <w:bCs/>
          <w:sz w:val="24"/>
          <w:szCs w:val="24"/>
          <w:lang w:val="en-US"/>
        </w:rPr>
        <w:t>3</w:t>
      </w:r>
      <w:r w:rsidRPr="00DB5B79">
        <w:rPr>
          <w:rFonts w:ascii="Times New Roman" w:hAnsi="Times New Roman" w:cs="Times New Roman"/>
          <w:bCs/>
          <w:sz w:val="24"/>
          <w:szCs w:val="24"/>
          <w:lang w:val="en-US"/>
        </w:rPr>
        <w:t xml:space="preserve">).  It may therefore be concluded that senior secondary school students having high general well-being have better academic achievement that the students with low general well-being. </w:t>
      </w:r>
    </w:p>
    <w:p w:rsidR="00FE2769" w:rsidRPr="00DB5B79" w:rsidRDefault="00593214" w:rsidP="00A53060">
      <w:pPr>
        <w:spacing w:line="360" w:lineRule="auto"/>
        <w:jc w:val="center"/>
        <w:rPr>
          <w:rFonts w:ascii="Times New Roman" w:hAnsi="Times New Roman" w:cs="Times New Roman"/>
          <w:b/>
          <w:sz w:val="24"/>
          <w:szCs w:val="24"/>
          <w:lang w:val="en-US"/>
        </w:rPr>
      </w:pPr>
      <w:r w:rsidRPr="00DB5B79">
        <w:rPr>
          <w:rFonts w:ascii="Times New Roman" w:hAnsi="Times New Roman" w:cs="Times New Roman"/>
          <w:b/>
          <w:sz w:val="24"/>
          <w:szCs w:val="24"/>
          <w:lang w:val="en-US"/>
        </w:rPr>
        <w:t>Table</w:t>
      </w:r>
      <w:r w:rsidR="00FE2769" w:rsidRPr="00DB5B79">
        <w:rPr>
          <w:rFonts w:ascii="Times New Roman" w:hAnsi="Times New Roman" w:cs="Times New Roman"/>
          <w:b/>
          <w:sz w:val="24"/>
          <w:szCs w:val="24"/>
          <w:lang w:val="en-US"/>
        </w:rPr>
        <w:t>:</w:t>
      </w:r>
      <w:r w:rsidRPr="00DB5B79">
        <w:rPr>
          <w:rFonts w:ascii="Times New Roman" w:hAnsi="Times New Roman" w:cs="Times New Roman"/>
          <w:b/>
          <w:sz w:val="24"/>
          <w:szCs w:val="24"/>
          <w:lang w:val="en-US"/>
        </w:rPr>
        <w:t>4</w:t>
      </w:r>
    </w:p>
    <w:p w:rsidR="00593214" w:rsidRPr="00DB5B79" w:rsidRDefault="00593214" w:rsidP="00A53060">
      <w:pPr>
        <w:spacing w:line="360" w:lineRule="auto"/>
        <w:jc w:val="center"/>
        <w:rPr>
          <w:rFonts w:ascii="Times New Roman" w:hAnsi="Times New Roman" w:cs="Times New Roman"/>
          <w:bCs/>
          <w:sz w:val="24"/>
          <w:szCs w:val="24"/>
          <w:lang w:val="en-US"/>
        </w:rPr>
      </w:pPr>
      <w:r w:rsidRPr="00DB5B79">
        <w:rPr>
          <w:rFonts w:ascii="Times New Roman" w:hAnsi="Times New Roman" w:cs="Times New Roman"/>
          <w:bCs/>
          <w:sz w:val="24"/>
          <w:szCs w:val="24"/>
          <w:lang w:val="en-US"/>
        </w:rPr>
        <w:t>Co-efficient of correlation between general well-</w:t>
      </w:r>
      <w:r w:rsidR="00803AB0" w:rsidRPr="00DB5B79">
        <w:rPr>
          <w:rFonts w:ascii="Times New Roman" w:hAnsi="Times New Roman" w:cs="Times New Roman"/>
          <w:bCs/>
          <w:sz w:val="24"/>
          <w:szCs w:val="24"/>
          <w:lang w:val="en-US"/>
        </w:rPr>
        <w:t>being and</w:t>
      </w:r>
      <w:r w:rsidRPr="00DB5B79">
        <w:rPr>
          <w:rFonts w:ascii="Times New Roman" w:hAnsi="Times New Roman" w:cs="Times New Roman"/>
          <w:bCs/>
          <w:sz w:val="24"/>
          <w:szCs w:val="24"/>
          <w:lang w:val="en-US"/>
        </w:rPr>
        <w:t xml:space="preserve"> academic </w:t>
      </w:r>
      <w:r w:rsidR="00803AB0" w:rsidRPr="00DB5B79">
        <w:rPr>
          <w:rFonts w:ascii="Times New Roman" w:hAnsi="Times New Roman" w:cs="Times New Roman"/>
          <w:bCs/>
          <w:sz w:val="24"/>
          <w:szCs w:val="24"/>
          <w:lang w:val="en-US"/>
        </w:rPr>
        <w:t>achievement of</w:t>
      </w:r>
      <w:r w:rsidRPr="00DB5B79">
        <w:rPr>
          <w:rFonts w:ascii="Times New Roman" w:hAnsi="Times New Roman" w:cs="Times New Roman"/>
          <w:bCs/>
          <w:sz w:val="24"/>
          <w:szCs w:val="24"/>
          <w:lang w:val="en-US"/>
        </w:rPr>
        <w:t xml:space="preserve"> senior secondary school students </w:t>
      </w:r>
    </w:p>
    <w:tbl>
      <w:tblPr>
        <w:tblpPr w:leftFromText="180" w:rightFromText="180" w:vertAnchor="text" w:horzAnchor="margin" w:tblpY="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4"/>
        <w:gridCol w:w="1436"/>
        <w:gridCol w:w="1758"/>
        <w:gridCol w:w="1458"/>
        <w:gridCol w:w="2076"/>
      </w:tblGrid>
      <w:tr w:rsidR="00FE2769" w:rsidRPr="00DB5B79" w:rsidTr="00FE2769">
        <w:tc>
          <w:tcPr>
            <w:tcW w:w="1360"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Variables</w:t>
            </w:r>
          </w:p>
        </w:tc>
        <w:tc>
          <w:tcPr>
            <w:tcW w:w="777"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N</w:t>
            </w:r>
          </w:p>
        </w:tc>
        <w:tc>
          <w:tcPr>
            <w:tcW w:w="951"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Means</w:t>
            </w:r>
          </w:p>
        </w:tc>
        <w:tc>
          <w:tcPr>
            <w:tcW w:w="789"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SD’s</w:t>
            </w:r>
          </w:p>
        </w:tc>
        <w:tc>
          <w:tcPr>
            <w:tcW w:w="1123" w:type="pct"/>
            <w:tcBorders>
              <w:top w:val="single" w:sz="4" w:space="0" w:color="auto"/>
              <w:left w:val="single" w:sz="4" w:space="0" w:color="auto"/>
              <w:bottom w:val="single" w:sz="4" w:space="0" w:color="auto"/>
              <w:right w:val="single" w:sz="4" w:space="0" w:color="auto"/>
            </w:tcBorders>
            <w:shd w:val="clear" w:color="auto" w:fill="E6E6E6"/>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Coefficient of correlation</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General Well being</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120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152.2</w:t>
            </w:r>
            <w:r w:rsidR="0082033C" w:rsidRPr="00DB5B79">
              <w:rPr>
                <w:rFonts w:ascii="Times New Roman" w:hAnsi="Times New Roman" w:cs="Times New Roman"/>
                <w:bCs/>
                <w:sz w:val="24"/>
                <w:szCs w:val="24"/>
                <w:lang w:val="en-US"/>
              </w:rPr>
              <w:t>5</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17.0</w:t>
            </w:r>
            <w:r w:rsidR="0082033C" w:rsidRPr="00DB5B79">
              <w:rPr>
                <w:rFonts w:ascii="Times New Roman" w:hAnsi="Times New Roman" w:cs="Times New Roman"/>
                <w:bCs/>
                <w:sz w:val="24"/>
                <w:szCs w:val="24"/>
                <w:lang w:val="en-US"/>
              </w:rPr>
              <w:t>4</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0.87</w:t>
            </w:r>
            <w:r w:rsidR="0082033C" w:rsidRPr="00DB5B79">
              <w:rPr>
                <w:rFonts w:ascii="Times New Roman" w:hAnsi="Times New Roman" w:cs="Times New Roman"/>
                <w:bCs/>
                <w:sz w:val="24"/>
                <w:szCs w:val="24"/>
                <w:lang w:val="en-US"/>
              </w:rPr>
              <w:t>8</w:t>
            </w:r>
            <w:r w:rsidRPr="00DB5B79">
              <w:rPr>
                <w:rFonts w:ascii="Times New Roman" w:hAnsi="Times New Roman" w:cs="Times New Roman"/>
                <w:bCs/>
                <w:sz w:val="24"/>
                <w:szCs w:val="24"/>
                <w:lang w:val="en-US"/>
              </w:rPr>
              <w:t>**</w:t>
            </w:r>
          </w:p>
        </w:tc>
      </w:tr>
      <w:tr w:rsidR="00FE2769" w:rsidRPr="00DB5B79" w:rsidTr="00FE2769">
        <w:tc>
          <w:tcPr>
            <w:tcW w:w="1360" w:type="pct"/>
            <w:tcBorders>
              <w:top w:val="single" w:sz="4" w:space="0" w:color="auto"/>
              <w:left w:val="single" w:sz="4" w:space="0" w:color="auto"/>
              <w:bottom w:val="single" w:sz="4" w:space="0" w:color="auto"/>
              <w:right w:val="single" w:sz="4" w:space="0" w:color="auto"/>
            </w:tcBorders>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Academic Achievement  </w:t>
            </w:r>
          </w:p>
        </w:tc>
        <w:tc>
          <w:tcPr>
            <w:tcW w:w="777"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120</w:t>
            </w:r>
          </w:p>
        </w:tc>
        <w:tc>
          <w:tcPr>
            <w:tcW w:w="951"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317.0</w:t>
            </w:r>
            <w:r w:rsidR="0082033C" w:rsidRPr="00DB5B79">
              <w:rPr>
                <w:rFonts w:ascii="Times New Roman" w:hAnsi="Times New Roman" w:cs="Times New Roman"/>
                <w:bCs/>
                <w:sz w:val="24"/>
                <w:szCs w:val="24"/>
                <w:lang w:val="en-US"/>
              </w:rPr>
              <w:t>1</w:t>
            </w:r>
          </w:p>
        </w:tc>
        <w:tc>
          <w:tcPr>
            <w:tcW w:w="789" w:type="pct"/>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40.8</w:t>
            </w:r>
            <w:r w:rsidR="0082033C" w:rsidRPr="00DB5B79">
              <w:rPr>
                <w:rFonts w:ascii="Times New Roman" w:hAnsi="Times New Roman" w:cs="Times New Roman"/>
                <w:bCs/>
                <w:sz w:val="24"/>
                <w:szCs w:val="24"/>
                <w:lang w:val="en-US"/>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2769" w:rsidRPr="00DB5B79" w:rsidRDefault="00FE2769" w:rsidP="00A53060">
            <w:pPr>
              <w:spacing w:line="360" w:lineRule="auto"/>
              <w:jc w:val="both"/>
              <w:rPr>
                <w:rFonts w:ascii="Times New Roman" w:hAnsi="Times New Roman" w:cs="Times New Roman"/>
                <w:bCs/>
                <w:sz w:val="24"/>
                <w:szCs w:val="24"/>
                <w:lang w:val="en-US"/>
              </w:rPr>
            </w:pPr>
          </w:p>
        </w:tc>
      </w:tr>
    </w:tbl>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**Significant at 0.01 level</w:t>
      </w:r>
    </w:p>
    <w:p w:rsidR="00593214" w:rsidRPr="00DB5B79" w:rsidRDefault="00593214"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 table</w:t>
      </w:r>
      <w:r w:rsidR="00FE2769"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4 depicts that the co-efficient of correlation between general well-being and academic achievement of senior secondary school students is 0.87</w:t>
      </w:r>
      <w:r w:rsidR="0082033C" w:rsidRPr="00DB5B79">
        <w:rPr>
          <w:rFonts w:ascii="Times New Roman" w:hAnsi="Times New Roman" w:cs="Times New Roman"/>
          <w:bCs/>
          <w:sz w:val="24"/>
          <w:szCs w:val="24"/>
          <w:lang w:val="en-US"/>
        </w:rPr>
        <w:t>8</w:t>
      </w:r>
      <w:r w:rsidRPr="00DB5B79">
        <w:rPr>
          <w:rFonts w:ascii="Times New Roman" w:hAnsi="Times New Roman" w:cs="Times New Roman"/>
          <w:bCs/>
          <w:sz w:val="24"/>
          <w:szCs w:val="24"/>
          <w:lang w:val="en-US"/>
        </w:rPr>
        <w:t xml:space="preserve">, which is significant at 0.01 level of significance. </w:t>
      </w:r>
      <w:r w:rsidR="00803AB0" w:rsidRPr="00DB5B79">
        <w:rPr>
          <w:rFonts w:ascii="Times New Roman" w:hAnsi="Times New Roman" w:cs="Times New Roman"/>
          <w:bCs/>
          <w:sz w:val="24"/>
          <w:szCs w:val="24"/>
          <w:lang w:val="en-US"/>
        </w:rPr>
        <w:t>So,</w:t>
      </w:r>
      <w:r w:rsidRPr="00DB5B79">
        <w:rPr>
          <w:rFonts w:ascii="Times New Roman" w:hAnsi="Times New Roman" w:cs="Times New Roman"/>
          <w:bCs/>
          <w:sz w:val="24"/>
          <w:szCs w:val="24"/>
          <w:lang w:val="en-US"/>
        </w:rPr>
        <w:t xml:space="preserve"> both the variables have significant positive relationship. Hence, the null hypothesis framed earlier, “There is no significant relationship between general well-being and academic achievement among senior secondary school students” is rejected.   It can be interpreted that with increase in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the academic achievement of senior secondary school students increases and vice-versa.</w:t>
      </w:r>
    </w:p>
    <w:p w:rsidR="00593214" w:rsidRPr="00DB5B79" w:rsidRDefault="00593214"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Findings:</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1.</w:t>
      </w:r>
      <w:r w:rsidRPr="00DB5B79">
        <w:rPr>
          <w:rFonts w:ascii="Times New Roman" w:hAnsi="Times New Roman" w:cs="Times New Roman"/>
          <w:bCs/>
          <w:sz w:val="24"/>
          <w:szCs w:val="24"/>
          <w:lang w:val="en-US"/>
        </w:rPr>
        <w:tab/>
        <w:t xml:space="preserve">It was found that there is a significant difference in academic achievement of male and female senior secondary school students. Female students have good academic achievement in comparison to male students.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2.</w:t>
      </w:r>
      <w:r w:rsidRPr="00DB5B79">
        <w:rPr>
          <w:rFonts w:ascii="Times New Roman" w:hAnsi="Times New Roman" w:cs="Times New Roman"/>
          <w:bCs/>
          <w:sz w:val="24"/>
          <w:szCs w:val="24"/>
          <w:lang w:val="en-US"/>
        </w:rPr>
        <w:tab/>
        <w:t>It was found that there is a significant difference in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of male and female senior secondary school students. Male students have good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in comparison to female students.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3.</w:t>
      </w:r>
      <w:r w:rsidRPr="00DB5B79">
        <w:rPr>
          <w:rFonts w:ascii="Times New Roman" w:hAnsi="Times New Roman" w:cs="Times New Roman"/>
          <w:bCs/>
          <w:sz w:val="24"/>
          <w:szCs w:val="24"/>
          <w:lang w:val="en-US"/>
        </w:rPr>
        <w:tab/>
        <w:t>It was found that there is a significant difference in academic achievement of senior secondary school students having low and high general well-being.  Students having high general well-being have better academic achievement that the students with low general well-being</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4.</w:t>
      </w:r>
      <w:r w:rsidRPr="00DB5B79">
        <w:rPr>
          <w:rFonts w:ascii="Times New Roman" w:hAnsi="Times New Roman" w:cs="Times New Roman"/>
          <w:bCs/>
          <w:sz w:val="24"/>
          <w:szCs w:val="24"/>
          <w:lang w:val="en-US"/>
        </w:rPr>
        <w:tab/>
        <w:t>It was found that there is a significant relationship between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and academic achievement senior secondary school students.  It can be interpreted that with increase in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the academic achievement of senior secondary school students increases and vice-versa.</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 xml:space="preserve">Conclusion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Wellbeing is described as referring to children and students’ physical, social and emotional welfare and development which are seen as integral rather than incidental to learning. Student wellbeing is at the centre of the Learner Wellbeing Framework (Birth to Year 12) which refers to the whole person across cognitive, emotional, physical, social and spiritual dimensions.  The enhancement of student general wellbeing is emerging as an important approach to the development of students’ social, emotional and academic competence and a significant contribution to the ongoing battle to prevent youth depression, suicide, </w:t>
      </w:r>
      <w:r w:rsidR="00803AB0" w:rsidRPr="00DB5B79">
        <w:rPr>
          <w:rFonts w:ascii="Times New Roman" w:hAnsi="Times New Roman" w:cs="Times New Roman"/>
          <w:bCs/>
          <w:sz w:val="24"/>
          <w:szCs w:val="24"/>
          <w:lang w:val="en-US"/>
        </w:rPr>
        <w:t>self-harm</w:t>
      </w:r>
      <w:r w:rsidRPr="00DB5B79">
        <w:rPr>
          <w:rFonts w:ascii="Times New Roman" w:hAnsi="Times New Roman" w:cs="Times New Roman"/>
          <w:bCs/>
          <w:sz w:val="24"/>
          <w:szCs w:val="24"/>
          <w:lang w:val="en-US"/>
        </w:rPr>
        <w:t>, antisocial behaviour (including bullying and violence) and substance abuse.</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 present study demonstrates the importance of wellbeing for children and adolescents throughout their primary, secondary and senior secondary school education. There are critical periods, however, when wellbeing is most crucial.  The findings of the present study reveal positive and significant relationship between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and academic achievement of students.  For academic progression, better general wellbeing is a key factor in senior secondary schools. School enjoyment plays a significant role in encouraging engagement in </w:t>
      </w:r>
      <w:r w:rsidRPr="00DB5B79">
        <w:rPr>
          <w:rFonts w:ascii="Times New Roman" w:hAnsi="Times New Roman" w:cs="Times New Roman"/>
          <w:bCs/>
          <w:sz w:val="24"/>
          <w:szCs w:val="24"/>
          <w:lang w:val="en-US"/>
        </w:rPr>
        <w:lastRenderedPageBreak/>
        <w:t xml:space="preserve">both secondary and senior secondary schools. Our findings highlight the significance of general wellbeing or, rather, the lack of it. </w:t>
      </w:r>
    </w:p>
    <w:p w:rsidR="007A4DCD" w:rsidRPr="00DB5B79" w:rsidRDefault="007A4DCD"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 xml:space="preserve">Educational Implications: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The purpose of this study was to explore the relationship between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and academic achievement of male and female senior secondary school students. These two factors have rarely been examined in combinations, especially in senior secondary school students in relation to gender. </w:t>
      </w:r>
    </w:p>
    <w:p w:rsidR="007A4DCD" w:rsidRPr="00DB5B79" w:rsidRDefault="007A4DCD" w:rsidP="00A53060">
      <w:pPr>
        <w:numPr>
          <w:ilvl w:val="0"/>
          <w:numId w:val="3"/>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In rapidly changing present scenario, this study provides a ground to parents, teachers, counsellors and researcher to understand the adolescents’ development pattern, their needs and help to identify the main factors which influences the general well-being in adolescents. </w:t>
      </w:r>
    </w:p>
    <w:p w:rsidR="007A4DCD" w:rsidRPr="00DB5B79" w:rsidRDefault="007A4DCD" w:rsidP="00A53060">
      <w:pPr>
        <w:numPr>
          <w:ilvl w:val="0"/>
          <w:numId w:val="3"/>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If they are lacking behind in any dimension of general well-being, remedial measures and support system should be provided to adolescents for their well-round development. It makes them to lead a good life so that they can prove themselves as an asset to their family, society and nation.</w:t>
      </w:r>
    </w:p>
    <w:p w:rsidR="007A4DCD" w:rsidRPr="00DB5B79" w:rsidRDefault="007A4DCD" w:rsidP="00A53060">
      <w:pPr>
        <w:numPr>
          <w:ilvl w:val="0"/>
          <w:numId w:val="3"/>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It is important to mention the implications of the present study for the health and school administration. Health policy-makers must restructure the health facilities in keeping the view of adolescents’ development pattern which shapes and enhances their general well-being which makes them lead a better life and rise to meet higher expectations of the society. </w:t>
      </w:r>
    </w:p>
    <w:p w:rsidR="007A4DCD" w:rsidRPr="00DB5B79" w:rsidRDefault="007A4DCD" w:rsidP="00A53060">
      <w:pPr>
        <w:numPr>
          <w:ilvl w:val="0"/>
          <w:numId w:val="3"/>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School is a miniature form of the society. It is a place where adolescents spend more time after home. So, the school administration should also provide the opportunities, facilities and exposure to students so that they can grow up in a mature adult.</w:t>
      </w:r>
    </w:p>
    <w:p w:rsidR="007A4DCD" w:rsidRPr="00DB5B79" w:rsidRDefault="00803AB0"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S</w:t>
      </w:r>
      <w:r w:rsidR="007A4DCD" w:rsidRPr="00DB5B79">
        <w:rPr>
          <w:rFonts w:ascii="Times New Roman" w:hAnsi="Times New Roman" w:cs="Times New Roman"/>
          <w:b/>
          <w:sz w:val="24"/>
          <w:szCs w:val="24"/>
          <w:lang w:val="en-US"/>
        </w:rPr>
        <w:t xml:space="preserve">uggestions for further research </w:t>
      </w:r>
    </w:p>
    <w:p w:rsidR="007A4DCD" w:rsidRPr="00DB5B79" w:rsidRDefault="007A4DCD" w:rsidP="00A53060">
      <w:p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Research in any branch of human knowledge never is a closed book, there is always a persistent need of finding solutions to new problem and testing problems. Some of the suggestions for the further research in the are given below:    </w:t>
      </w:r>
    </w:p>
    <w:p w:rsidR="007A4DCD" w:rsidRPr="00DB5B79" w:rsidRDefault="007A4DCD" w:rsidP="00A53060">
      <w:pPr>
        <w:numPr>
          <w:ilvl w:val="0"/>
          <w:numId w:val="4"/>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 xml:space="preserve">The study can be conducted on a large sample that selected for the present study which can make the results more reliable. </w:t>
      </w:r>
    </w:p>
    <w:p w:rsidR="007A4DCD" w:rsidRPr="00DB5B79" w:rsidRDefault="007A4DCD" w:rsidP="00A53060">
      <w:pPr>
        <w:numPr>
          <w:ilvl w:val="0"/>
          <w:numId w:val="4"/>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The study can be conducted on complete population senior secondary schools of Gurugram. </w:t>
      </w:r>
    </w:p>
    <w:p w:rsidR="007A4DCD" w:rsidRPr="00DB5B79" w:rsidRDefault="007A4DCD" w:rsidP="00A53060">
      <w:pPr>
        <w:numPr>
          <w:ilvl w:val="0"/>
          <w:numId w:val="4"/>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The present study can be conducted on all over the state or country’s schools. </w:t>
      </w:r>
    </w:p>
    <w:p w:rsidR="007A4DCD" w:rsidRPr="00DB5B79" w:rsidRDefault="007A4DCD" w:rsidP="00A53060">
      <w:pPr>
        <w:numPr>
          <w:ilvl w:val="0"/>
          <w:numId w:val="4"/>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The present study can be conducted on even adult students. </w:t>
      </w:r>
    </w:p>
    <w:p w:rsidR="007A4DCD" w:rsidRPr="00DB5B79" w:rsidRDefault="007A4DCD" w:rsidP="00A53060">
      <w:pPr>
        <w:numPr>
          <w:ilvl w:val="0"/>
          <w:numId w:val="4"/>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To study the impact of various factors like age, sex, environment conditions and socio-economic status on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being and academic achievement can be conducted.</w:t>
      </w:r>
    </w:p>
    <w:p w:rsidR="007A4DCD" w:rsidRPr="00DB5B79" w:rsidRDefault="007A4DCD" w:rsidP="00A53060">
      <w:pPr>
        <w:numPr>
          <w:ilvl w:val="0"/>
          <w:numId w:val="4"/>
        </w:numPr>
        <w:spacing w:line="360" w:lineRule="auto"/>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We can use intelligence, personality and values in place of general; well</w:t>
      </w:r>
      <w:r w:rsidR="00803AB0" w:rsidRPr="00DB5B79">
        <w:rPr>
          <w:rFonts w:ascii="Times New Roman" w:hAnsi="Times New Roman" w:cs="Times New Roman"/>
          <w:bCs/>
          <w:sz w:val="24"/>
          <w:szCs w:val="24"/>
          <w:lang w:val="en-US"/>
        </w:rPr>
        <w:t>-</w:t>
      </w:r>
      <w:r w:rsidRPr="00DB5B79">
        <w:rPr>
          <w:rFonts w:ascii="Times New Roman" w:hAnsi="Times New Roman" w:cs="Times New Roman"/>
          <w:bCs/>
          <w:sz w:val="24"/>
          <w:szCs w:val="24"/>
          <w:lang w:val="en-US"/>
        </w:rPr>
        <w:t xml:space="preserve">being as a useful tool to see the impact on academic achievement of adolescents.    </w:t>
      </w:r>
    </w:p>
    <w:p w:rsidR="004D1A45" w:rsidRPr="00DB5B79" w:rsidRDefault="004D1A45" w:rsidP="00A53060">
      <w:pPr>
        <w:spacing w:line="360" w:lineRule="auto"/>
        <w:jc w:val="both"/>
        <w:rPr>
          <w:rFonts w:ascii="Times New Roman" w:hAnsi="Times New Roman" w:cs="Times New Roman"/>
          <w:b/>
          <w:sz w:val="24"/>
          <w:szCs w:val="24"/>
          <w:lang w:val="en-US"/>
        </w:rPr>
      </w:pPr>
    </w:p>
    <w:p w:rsidR="007A4DCD" w:rsidRPr="00DB5B79" w:rsidRDefault="004D1A45" w:rsidP="00A53060">
      <w:pPr>
        <w:spacing w:line="360" w:lineRule="auto"/>
        <w:jc w:val="both"/>
        <w:rPr>
          <w:rFonts w:ascii="Times New Roman" w:hAnsi="Times New Roman" w:cs="Times New Roman"/>
          <w:b/>
          <w:sz w:val="24"/>
          <w:szCs w:val="24"/>
          <w:lang w:val="en-US"/>
        </w:rPr>
      </w:pPr>
      <w:r w:rsidRPr="00DB5B79">
        <w:rPr>
          <w:rFonts w:ascii="Times New Roman" w:hAnsi="Times New Roman" w:cs="Times New Roman"/>
          <w:b/>
          <w:sz w:val="24"/>
          <w:szCs w:val="24"/>
          <w:lang w:val="en-US"/>
        </w:rPr>
        <w:t>R</w:t>
      </w:r>
      <w:r w:rsidR="007A4DCD" w:rsidRPr="00DB5B79">
        <w:rPr>
          <w:rFonts w:ascii="Times New Roman" w:hAnsi="Times New Roman" w:cs="Times New Roman"/>
          <w:b/>
          <w:sz w:val="24"/>
          <w:szCs w:val="24"/>
          <w:lang w:val="en-US"/>
        </w:rPr>
        <w:t>eferences</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Aggarwal, N. (1991). A study of factors related to career maturity of school students. An unpublished Ph.D. Thesis, M.S. University of Baroda.</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Agrawal, B. (2019). Self-Esteem, Adjustment, Psychological Well-Being and Academic Performance </w:t>
      </w:r>
      <w:r w:rsidR="00803AB0" w:rsidRPr="00DB5B79">
        <w:rPr>
          <w:rFonts w:ascii="Times New Roman" w:hAnsi="Times New Roman" w:cs="Times New Roman"/>
          <w:bCs/>
          <w:sz w:val="24"/>
          <w:szCs w:val="24"/>
          <w:lang w:val="en-US"/>
        </w:rPr>
        <w:t>o</w:t>
      </w:r>
      <w:r w:rsidRPr="00DB5B79">
        <w:rPr>
          <w:rFonts w:ascii="Times New Roman" w:hAnsi="Times New Roman" w:cs="Times New Roman"/>
          <w:bCs/>
          <w:sz w:val="24"/>
          <w:szCs w:val="24"/>
          <w:lang w:val="en-US"/>
        </w:rPr>
        <w:t>f Secondary School Students. Ilkogretim Online - Elementary Education Online, 19(3), 4778-4797.</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Ansari, W.E. and Stock, C. (2010). Is the Health and Wellbeing of University Students Associated with their Academic Performance? Cross Sectional Findings from the United Kingdom, Int. J. Environ. Res. Public Health, 7, 509-527.</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Asthana, M. (2003). Problem Solving as a Function of Intelligence and Anxiety, </w:t>
      </w:r>
      <w:r w:rsidRPr="00DB5B79">
        <w:rPr>
          <w:rFonts w:ascii="Times New Roman" w:hAnsi="Times New Roman" w:cs="Times New Roman"/>
          <w:bCs/>
          <w:iCs/>
          <w:sz w:val="24"/>
          <w:szCs w:val="24"/>
          <w:lang w:val="en-US"/>
        </w:rPr>
        <w:t>Indian Psychological Review,</w:t>
      </w:r>
      <w:r w:rsidRPr="00DB5B79">
        <w:rPr>
          <w:rFonts w:ascii="Times New Roman" w:hAnsi="Times New Roman" w:cs="Times New Roman"/>
          <w:bCs/>
          <w:sz w:val="24"/>
          <w:szCs w:val="24"/>
          <w:lang w:val="en-US"/>
        </w:rPr>
        <w:t xml:space="preserve"> 60 (2), 63-76.</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Austin, E.J. (2004) Personality, Well- Being and Health Correlates of Intelligence. Personality and Individual Differences, 36,555-562.</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Bagi, P. and Kumar, M. (2014).  Relationship between family environment and wellbeing: A study of Adolescents, International Journal of Informative and Futuristic Research, 2(1), 271-276.</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Bhat, B.A. (2021). Psychological Well-Being of Senior Secondary School Students in Relation to Gender and Academic Achievement: An Empirical Study. Shanlax International Journal of Education, 9(2), 96-101.</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 xml:space="preserve">Bruni, O., Ferini- Sterambi, L., Russo, P. M., Antignani, M., Innocenzy, M., and Ottaviano (2006). Sleep Disturbances and Teacher Rating of School Achievement and Temperament in Children. </w:t>
      </w:r>
      <w:r w:rsidRPr="00DB5B79">
        <w:rPr>
          <w:rFonts w:ascii="Times New Roman" w:hAnsi="Times New Roman" w:cs="Times New Roman"/>
          <w:bCs/>
          <w:iCs/>
          <w:sz w:val="24"/>
          <w:szCs w:val="24"/>
          <w:lang w:val="en-US"/>
        </w:rPr>
        <w:t>Sleep Medicine</w:t>
      </w:r>
      <w:r w:rsidRPr="00DB5B79">
        <w:rPr>
          <w:rFonts w:ascii="Times New Roman" w:hAnsi="Times New Roman" w:cs="Times New Roman"/>
          <w:bCs/>
          <w:sz w:val="24"/>
          <w:szCs w:val="24"/>
          <w:lang w:val="en-US"/>
        </w:rPr>
        <w:t>, 7(1), 43-48.</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Bucker, S.  Nyraydin, S., Simonsmeier, B.A. and Schneider, M. (2018). Subjective well-being and academic achievement: A meta-analysis. Journal of Research in Personality, 74, 83–94.</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Dave, R. H. (1975). Developing and writing behavioural objectives. (R. J. Armstrong, Ed.) Tuckson; Arizona: Educational Innovators Press.</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Driver, R. (1989), Students conceptions and the learning of science. International Journal of Science Education 3, 383-396.</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Dweck, C. (2006). Mindset: The new psychology of success. London, England: Random House.</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El Ansari, W., &amp; Stock, C. (2010). Is the health and wellbeing of university students associated with their academic performance? Cross sectional findings from the United Kingdom. International Journal of Environmental Research and Public Health, 7, 509–527.</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Gray, J. and Hackling, M. (2011). Wellbeing and Retention: A Senior Secondary Student Perspective, Australian Educational Researcher, 36(2), 119-145.</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Gupta, R. (2014). study on self-concept, academic achievement and achievement motivation of the students, </w:t>
      </w:r>
      <w:r w:rsidRPr="00DB5B79">
        <w:rPr>
          <w:rFonts w:ascii="Times New Roman" w:hAnsi="Times New Roman" w:cs="Times New Roman"/>
          <w:bCs/>
          <w:iCs/>
          <w:sz w:val="24"/>
          <w:szCs w:val="24"/>
          <w:lang w:val="en-US"/>
        </w:rPr>
        <w:t>Journal of Humanities and Social Science</w:t>
      </w:r>
      <w:r w:rsidRPr="00DB5B79">
        <w:rPr>
          <w:rFonts w:ascii="Times New Roman" w:hAnsi="Times New Roman" w:cs="Times New Roman"/>
          <w:bCs/>
          <w:sz w:val="24"/>
          <w:szCs w:val="24"/>
          <w:lang w:val="en-US"/>
        </w:rPr>
        <w:t>, 19(5), 88-93.</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Halawah, Ibtesam (2006). The effects of Motivation, Family Environment and Student Characteristics on Academic Achievement. </w:t>
      </w:r>
      <w:r w:rsidRPr="00DB5B79">
        <w:rPr>
          <w:rFonts w:ascii="Times New Roman" w:hAnsi="Times New Roman" w:cs="Times New Roman"/>
          <w:bCs/>
          <w:iCs/>
          <w:sz w:val="24"/>
          <w:szCs w:val="24"/>
          <w:lang w:val="en-US"/>
        </w:rPr>
        <w:t>Journal of Instructional Psychology</w:t>
      </w:r>
      <w:r w:rsidRPr="00DB5B79">
        <w:rPr>
          <w:rFonts w:ascii="Times New Roman" w:hAnsi="Times New Roman" w:cs="Times New Roman"/>
          <w:bCs/>
          <w:sz w:val="24"/>
          <w:szCs w:val="24"/>
          <w:lang w:val="en-US"/>
        </w:rPr>
        <w:t>. 25</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Kumar, s. (2015). a study of general well- being in relation to social maturity of senior secondary school students, Bhartiyam International Journal of Education &amp; Research, 4(2), 60-65.</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Lakshmi, V., Wood, E.F. and Choudhury, B.J. (1997). A soil-canopy-atmosphere model for use in satellite microwave remote sensing, Journal of Geophysical Research, 102, D6, 6911-6927</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Mann, M., &amp; Zarabi, D. (2022). Relationship of Academic Achievement and General Well-Being of School Going Adolescents in Chandigarh. Scholarly Research Journal for Humanity Science &amp; English Language, 10(54), 13594-13600.</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Mubarok, F., &amp;Pierewan, A.C. (2020). Well-Being and Academic Achievement on Students in City of Yogyakarta. Journal Ecopsy, 7(1), 1-6.</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Mudgal, J. (2000) Mother Social Status and the Intergenerational Transmission of Emotional, Well-Being from Mothers to Adolescents. Unpublished Ph.D. Thesis (Sociology). University of California, Los Angeles, 812.</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Nuthana P.C. (2007). Gender Analysis of Academic Achievement among High School Students. Ph.D.</w:t>
      </w:r>
      <w:r w:rsidRPr="00DB5B79">
        <w:rPr>
          <w:rFonts w:ascii="Times New Roman" w:hAnsi="Times New Roman" w:cs="Times New Roman"/>
          <w:bCs/>
          <w:iCs/>
          <w:sz w:val="24"/>
          <w:szCs w:val="24"/>
          <w:lang w:val="en-US"/>
        </w:rPr>
        <w:t>Thesis,</w:t>
      </w:r>
      <w:r w:rsidRPr="00DB5B79">
        <w:rPr>
          <w:rFonts w:ascii="Times New Roman" w:hAnsi="Times New Roman" w:cs="Times New Roman"/>
          <w:bCs/>
          <w:sz w:val="24"/>
          <w:szCs w:val="24"/>
          <w:lang w:val="en-US"/>
        </w:rPr>
        <w:t xml:space="preserve"> University of Agricultural Science, Dharwad.</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lastRenderedPageBreak/>
        <w:t>Ostberg, V. (2003) Children in Classrooms, Peer Status, Status Distribution and Mental Well-Being. Social Science and Medicine, 56 (1), 17-29.</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 xml:space="preserve">Ross, A. (2010). nutrition and its effects on academic performance how can our schools improve? Master of Arts Education, Northern Michigan University, </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Shah, K. Jyotsana (2011). a study on social maturity, school adjustment and academic achievement among residential school girls, Journal of Education and Practice</w:t>
      </w:r>
      <w:r w:rsidR="00CA6D08" w:rsidRPr="00DB5B79">
        <w:rPr>
          <w:rFonts w:ascii="Times New Roman" w:hAnsi="Times New Roman" w:cs="Times New Roman"/>
          <w:bCs/>
          <w:sz w:val="24"/>
          <w:szCs w:val="24"/>
          <w:lang w:val="en-US"/>
        </w:rPr>
        <w:t>.</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Sinha, N.C. (1970).  Intelligence and Scholastic Achievement. Manas</w:t>
      </w:r>
      <w:r w:rsidR="00CA6D08" w:rsidRPr="00DB5B79">
        <w:rPr>
          <w:rFonts w:ascii="Times New Roman" w:hAnsi="Times New Roman" w:cs="Times New Roman"/>
          <w:bCs/>
          <w:sz w:val="24"/>
          <w:szCs w:val="24"/>
          <w:lang w:val="en-US"/>
        </w:rPr>
        <w:t>.</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Sunita (2018). General Well Being of Adolescents in Relation to Their Academic Achievement Motivation. International Journal of Movement Education and Social Science</w:t>
      </w:r>
      <w:r w:rsidR="00CA6D08" w:rsidRPr="00DB5B79">
        <w:rPr>
          <w:rFonts w:ascii="Times New Roman" w:hAnsi="Times New Roman" w:cs="Times New Roman"/>
          <w:bCs/>
          <w:sz w:val="24"/>
          <w:szCs w:val="24"/>
          <w:lang w:val="en-US"/>
        </w:rPr>
        <w:t>.</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Tiwari, M.K. and Ojha S. (2014). Study of General Well-being and Emotional Maturity of Adolescents, International Journal of Health and Wellbeing</w:t>
      </w:r>
      <w:r w:rsidR="00CA6D08" w:rsidRPr="00DB5B79">
        <w:rPr>
          <w:rFonts w:ascii="Times New Roman" w:hAnsi="Times New Roman" w:cs="Times New Roman"/>
          <w:bCs/>
          <w:sz w:val="24"/>
          <w:szCs w:val="24"/>
          <w:lang w:val="en-US"/>
        </w:rPr>
        <w:t>.</w:t>
      </w:r>
    </w:p>
    <w:p w:rsidR="007A4DCD"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William, J.K. (2014). Social support, academic achievement and psychological well-being among African American college students, Educational Psychology</w:t>
      </w:r>
      <w:r w:rsidR="00CA6D08" w:rsidRPr="00DB5B79">
        <w:rPr>
          <w:rFonts w:ascii="Times New Roman" w:hAnsi="Times New Roman" w:cs="Times New Roman"/>
          <w:bCs/>
          <w:sz w:val="24"/>
          <w:szCs w:val="24"/>
          <w:lang w:val="en-US"/>
        </w:rPr>
        <w:t>.</w:t>
      </w:r>
    </w:p>
    <w:p w:rsidR="002A1A9A" w:rsidRPr="00DB5B79" w:rsidRDefault="007A4DCD" w:rsidP="009F2115">
      <w:pPr>
        <w:jc w:val="both"/>
        <w:rPr>
          <w:rFonts w:ascii="Times New Roman" w:hAnsi="Times New Roman" w:cs="Times New Roman"/>
          <w:bCs/>
          <w:sz w:val="24"/>
          <w:szCs w:val="24"/>
          <w:lang w:val="en-US"/>
        </w:rPr>
      </w:pPr>
      <w:r w:rsidRPr="00DB5B79">
        <w:rPr>
          <w:rFonts w:ascii="Times New Roman" w:hAnsi="Times New Roman" w:cs="Times New Roman"/>
          <w:bCs/>
          <w:sz w:val="24"/>
          <w:szCs w:val="24"/>
          <w:lang w:val="en-US"/>
        </w:rPr>
        <w:t>Yau-Ho, P.W. (2008). Kindergarten teachers perceived school culture and well-being: a comparison of non-profit-making and profit-making Kindergartens. Published in Early Child Development and Care</w:t>
      </w:r>
      <w:r w:rsidR="00CA6D08" w:rsidRPr="00DB5B79">
        <w:rPr>
          <w:rFonts w:ascii="Times New Roman" w:hAnsi="Times New Roman" w:cs="Times New Roman"/>
          <w:bCs/>
          <w:sz w:val="24"/>
          <w:szCs w:val="24"/>
          <w:lang w:val="en-US"/>
        </w:rPr>
        <w:t>.</w:t>
      </w:r>
    </w:p>
    <w:p w:rsidR="001327F4" w:rsidRPr="00DB5B79" w:rsidRDefault="001327F4" w:rsidP="009F2115">
      <w:pPr>
        <w:jc w:val="both"/>
        <w:rPr>
          <w:rFonts w:ascii="Times New Roman" w:hAnsi="Times New Roman" w:cs="Times New Roman"/>
          <w:bCs/>
          <w:sz w:val="24"/>
          <w:szCs w:val="24"/>
          <w:lang w:val="en-US"/>
        </w:rPr>
      </w:pPr>
    </w:p>
    <w:p w:rsidR="001327F4" w:rsidRPr="00DB5B79" w:rsidRDefault="001327F4" w:rsidP="009F2115">
      <w:pPr>
        <w:jc w:val="both"/>
        <w:rPr>
          <w:rFonts w:ascii="Times New Roman" w:hAnsi="Times New Roman" w:cs="Times New Roman"/>
          <w:bCs/>
          <w:sz w:val="24"/>
          <w:szCs w:val="24"/>
          <w:lang w:val="en-US"/>
        </w:rPr>
      </w:pPr>
    </w:p>
    <w:p w:rsidR="001327F4" w:rsidRPr="00DB5B79" w:rsidRDefault="001327F4" w:rsidP="001327F4">
      <w:pPr>
        <w:jc w:val="center"/>
        <w:rPr>
          <w:rFonts w:ascii="Times New Roman" w:hAnsi="Times New Roman" w:cs="Times New Roman"/>
          <w:bCs/>
          <w:sz w:val="24"/>
          <w:szCs w:val="24"/>
          <w:lang w:val="en-US"/>
        </w:rPr>
      </w:pPr>
      <w:r w:rsidRPr="00DB5B79">
        <w:rPr>
          <w:rFonts w:ascii="Times New Roman" w:hAnsi="Times New Roman" w:cs="Times New Roman"/>
          <w:bCs/>
          <w:sz w:val="24"/>
          <w:szCs w:val="24"/>
          <w:lang w:val="en-US"/>
        </w:rPr>
        <w:t>_____________________</w:t>
      </w:r>
    </w:p>
    <w:sectPr w:rsidR="001327F4" w:rsidRPr="00DB5B79" w:rsidSect="00DB5B7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1008" w:gutter="0"/>
      <w:pgBorders w:offsetFrom="page">
        <w:top w:val="single" w:sz="4" w:space="24" w:color="auto"/>
        <w:left w:val="single" w:sz="4" w:space="24" w:color="auto"/>
        <w:bottom w:val="single" w:sz="4" w:space="24" w:color="auto"/>
        <w:right w:val="single" w:sz="4" w:space="24" w:color="auto"/>
      </w:pgBorders>
      <w:pgNumType w:start="3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3EE" w:rsidRDefault="00F513EE" w:rsidP="001E366A">
      <w:pPr>
        <w:spacing w:after="0" w:line="240" w:lineRule="auto"/>
      </w:pPr>
      <w:r>
        <w:separator/>
      </w:r>
    </w:p>
  </w:endnote>
  <w:endnote w:type="continuationSeparator" w:id="1">
    <w:p w:rsidR="00F513EE" w:rsidRDefault="00F513EE" w:rsidP="001E3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BC9" w:rsidRDefault="00BF5B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66A" w:rsidRDefault="00BF5BC9">
    <w:pPr>
      <w:pStyle w:val="Footer"/>
      <w:pBdr>
        <w:top w:val="thinThickSmallGap" w:sz="24" w:space="1" w:color="823B0B" w:themeColor="accent2" w:themeShade="7F"/>
      </w:pBdr>
    </w:pPr>
    <w:r>
      <w:rPr>
        <w:rFonts w:ascii="Times New Roman" w:hAnsi="Times New Roman" w:cs="Times New Roman"/>
        <w:bCs/>
        <w:sz w:val="24"/>
        <w:szCs w:val="24"/>
        <w:lang w:val="en-US"/>
      </w:rPr>
      <w:t>*</w:t>
    </w:r>
    <w:r w:rsidR="001E366A" w:rsidRPr="00CA6D08">
      <w:rPr>
        <w:rFonts w:ascii="Times New Roman" w:hAnsi="Times New Roman" w:cs="Times New Roman"/>
        <w:bCs/>
        <w:sz w:val="24"/>
        <w:szCs w:val="24"/>
        <w:lang w:val="en-US"/>
      </w:rPr>
      <w:t>HOD, Oxford College of Education, Farrukhnagar, Gurugram</w:t>
    </w:r>
    <w:r w:rsidR="001E366A">
      <w:rPr>
        <w:rFonts w:asciiTheme="majorHAnsi" w:hAnsiTheme="majorHAnsi"/>
      </w:rPr>
      <w:t xml:space="preserve">                  </w:t>
    </w:r>
    <w:r>
      <w:rPr>
        <w:rFonts w:asciiTheme="majorHAnsi" w:hAnsiTheme="majorHAnsi"/>
      </w:rPr>
      <w:t xml:space="preserve">                         </w:t>
    </w:r>
    <w:r w:rsidR="001E366A">
      <w:rPr>
        <w:rFonts w:asciiTheme="majorHAnsi" w:hAnsiTheme="majorHAnsi"/>
      </w:rPr>
      <w:t xml:space="preserve">  Page </w:t>
    </w:r>
    <w:fldSimple w:instr=" PAGE   \* MERGEFORMAT ">
      <w:r w:rsidRPr="00BF5BC9">
        <w:rPr>
          <w:rFonts w:asciiTheme="majorHAnsi" w:hAnsiTheme="majorHAnsi"/>
          <w:noProof/>
        </w:rPr>
        <w:t>57</w:t>
      </w:r>
    </w:fldSimple>
  </w:p>
  <w:p w:rsidR="001E366A" w:rsidRPr="001E366A" w:rsidRDefault="001E366A" w:rsidP="001E366A">
    <w:pPr>
      <w:spacing w:after="0"/>
      <w:rPr>
        <w:rFonts w:ascii="Times New Roman" w:hAnsi="Times New Roman" w:cs="Times New Roman"/>
        <w:bCs/>
        <w:sz w:val="24"/>
        <w:szCs w:val="24"/>
        <w:lang w:val="en-US"/>
      </w:rPr>
    </w:pPr>
    <w:r w:rsidRPr="00CA6D08">
      <w:rPr>
        <w:rFonts w:ascii="Times New Roman" w:hAnsi="Times New Roman" w:cs="Times New Roman"/>
        <w:bCs/>
        <w:sz w:val="24"/>
        <w:szCs w:val="24"/>
        <w:lang w:val="en-US"/>
      </w:rPr>
      <w:t xml:space="preserve">Contact No: 8930682150, Email: </w:t>
    </w:r>
    <w:hyperlink r:id="rId1" w:history="1">
      <w:r w:rsidRPr="00146AAD">
        <w:rPr>
          <w:rStyle w:val="Hyperlink"/>
          <w:rFonts w:ascii="Times New Roman" w:hAnsi="Times New Roman" w:cs="Times New Roman"/>
          <w:bCs/>
          <w:sz w:val="24"/>
          <w:szCs w:val="24"/>
          <w:lang w:val="en-US"/>
        </w:rPr>
        <w:t>Neeruchanchal.87@gmail.com</w:t>
      </w:r>
    </w:hyperlink>
  </w:p>
  <w:p w:rsidR="001E366A" w:rsidRDefault="001E36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BC9" w:rsidRDefault="00BF5B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3EE" w:rsidRDefault="00F513EE" w:rsidP="001E366A">
      <w:pPr>
        <w:spacing w:after="0" w:line="240" w:lineRule="auto"/>
      </w:pPr>
      <w:r>
        <w:separator/>
      </w:r>
    </w:p>
  </w:footnote>
  <w:footnote w:type="continuationSeparator" w:id="1">
    <w:p w:rsidR="00F513EE" w:rsidRDefault="00F513EE" w:rsidP="001E36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BC9" w:rsidRDefault="00BF5B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66A" w:rsidRPr="007C7BD9" w:rsidRDefault="001E366A" w:rsidP="001E366A">
    <w:pPr>
      <w:pStyle w:val="NoSpacing"/>
      <w:jc w:val="right"/>
      <w:rPr>
        <w:rFonts w:ascii="Times New Roman" w:hAnsi="Times New Roman" w:cs="Times New Roman"/>
        <w:sz w:val="24"/>
        <w:szCs w:val="24"/>
      </w:rPr>
    </w:pPr>
    <w:r w:rsidRPr="007C7BD9">
      <w:rPr>
        <w:rFonts w:ascii="Times New Roman" w:hAnsi="Times New Roman" w:cs="Times New Roman"/>
        <w:sz w:val="24"/>
        <w:szCs w:val="24"/>
      </w:rPr>
      <w:t xml:space="preserve">Volume 14, Issue III, June 2025, ISSN: 2277-1255  </w:t>
    </w:r>
  </w:p>
  <w:p w:rsidR="001E366A" w:rsidRPr="007C7BD9" w:rsidRDefault="001E366A" w:rsidP="001E366A">
    <w:pPr>
      <w:pStyle w:val="NoSpacing"/>
      <w:jc w:val="right"/>
      <w:rPr>
        <w:rFonts w:ascii="Times New Roman" w:hAnsi="Times New Roman" w:cs="Times New Roman"/>
        <w:sz w:val="24"/>
        <w:szCs w:val="24"/>
      </w:rPr>
    </w:pPr>
    <w:r w:rsidRPr="007C7BD9">
      <w:rPr>
        <w:rFonts w:ascii="Times New Roman" w:hAnsi="Times New Roman" w:cs="Times New Roman"/>
        <w:sz w:val="24"/>
        <w:szCs w:val="24"/>
      </w:rPr>
      <w:t xml:space="preserve">BHARTIYAM INTERNATIONAL JOURNAL OF EDUCATION &amp; RESEARCH  </w:t>
    </w:r>
  </w:p>
  <w:p w:rsidR="001E366A" w:rsidRPr="007C7BD9" w:rsidRDefault="001E366A" w:rsidP="001E366A">
    <w:pPr>
      <w:pStyle w:val="NoSpacing"/>
      <w:jc w:val="right"/>
      <w:rPr>
        <w:rFonts w:ascii="Times New Roman" w:hAnsi="Times New Roman" w:cs="Times New Roman"/>
        <w:sz w:val="24"/>
        <w:szCs w:val="24"/>
      </w:rPr>
    </w:pPr>
    <w:r w:rsidRPr="007C7BD9">
      <w:rPr>
        <w:rFonts w:ascii="Times New Roman" w:hAnsi="Times New Roman" w:cs="Times New Roman"/>
        <w:sz w:val="24"/>
        <w:szCs w:val="24"/>
      </w:rPr>
      <w:t>A quarterly peer reviewed International Journal of Research &amp; Education</w:t>
    </w:r>
  </w:p>
  <w:p w:rsidR="001E366A" w:rsidRPr="001E366A" w:rsidRDefault="001E366A" w:rsidP="001E366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BC9" w:rsidRDefault="00BF5B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B1501"/>
    <w:multiLevelType w:val="hybridMultilevel"/>
    <w:tmpl w:val="DB004658"/>
    <w:lvl w:ilvl="0" w:tplc="1DEE949A">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E3E47E5"/>
    <w:multiLevelType w:val="hybridMultilevel"/>
    <w:tmpl w:val="C3D0A60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A673383"/>
    <w:multiLevelType w:val="hybridMultilevel"/>
    <w:tmpl w:val="D766236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57494FA2"/>
    <w:multiLevelType w:val="hybridMultilevel"/>
    <w:tmpl w:val="6AA6E47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7B942825"/>
    <w:multiLevelType w:val="hybridMultilevel"/>
    <w:tmpl w:val="8CA88DE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7A4DCD"/>
    <w:rsid w:val="00060187"/>
    <w:rsid w:val="00087394"/>
    <w:rsid w:val="000A53F7"/>
    <w:rsid w:val="001274D6"/>
    <w:rsid w:val="001327F4"/>
    <w:rsid w:val="0016618B"/>
    <w:rsid w:val="00166E51"/>
    <w:rsid w:val="001E366A"/>
    <w:rsid w:val="001E797B"/>
    <w:rsid w:val="0020416B"/>
    <w:rsid w:val="00227332"/>
    <w:rsid w:val="00252B1F"/>
    <w:rsid w:val="00271EBC"/>
    <w:rsid w:val="002A1A9A"/>
    <w:rsid w:val="002E4596"/>
    <w:rsid w:val="002F58FC"/>
    <w:rsid w:val="003157AD"/>
    <w:rsid w:val="00316CCC"/>
    <w:rsid w:val="003234E5"/>
    <w:rsid w:val="00370FBF"/>
    <w:rsid w:val="00396CE5"/>
    <w:rsid w:val="003E471E"/>
    <w:rsid w:val="004A435F"/>
    <w:rsid w:val="004D1A45"/>
    <w:rsid w:val="00593214"/>
    <w:rsid w:val="005D09E5"/>
    <w:rsid w:val="006E6CBE"/>
    <w:rsid w:val="007027C0"/>
    <w:rsid w:val="00780AD5"/>
    <w:rsid w:val="007A4DCD"/>
    <w:rsid w:val="00803AB0"/>
    <w:rsid w:val="0082033C"/>
    <w:rsid w:val="008A26C8"/>
    <w:rsid w:val="008C2F98"/>
    <w:rsid w:val="008D0A5B"/>
    <w:rsid w:val="008E3241"/>
    <w:rsid w:val="009B4B8E"/>
    <w:rsid w:val="009F2115"/>
    <w:rsid w:val="00A53060"/>
    <w:rsid w:val="00AA2F16"/>
    <w:rsid w:val="00AA4A36"/>
    <w:rsid w:val="00AC2004"/>
    <w:rsid w:val="00AD3BBD"/>
    <w:rsid w:val="00B33F73"/>
    <w:rsid w:val="00B66B67"/>
    <w:rsid w:val="00BF5BC9"/>
    <w:rsid w:val="00C36A45"/>
    <w:rsid w:val="00C5561E"/>
    <w:rsid w:val="00CA6D08"/>
    <w:rsid w:val="00D07424"/>
    <w:rsid w:val="00D11DA6"/>
    <w:rsid w:val="00D93BA3"/>
    <w:rsid w:val="00DB4FF0"/>
    <w:rsid w:val="00DB5B79"/>
    <w:rsid w:val="00DD4474"/>
    <w:rsid w:val="00E05A6B"/>
    <w:rsid w:val="00E240FA"/>
    <w:rsid w:val="00E27DD3"/>
    <w:rsid w:val="00E64338"/>
    <w:rsid w:val="00F513EE"/>
    <w:rsid w:val="00FE27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BA3"/>
  </w:style>
  <w:style w:type="paragraph" w:styleId="Heading1">
    <w:name w:val="heading 1"/>
    <w:basedOn w:val="Normal"/>
    <w:next w:val="Normal"/>
    <w:link w:val="Heading1Char"/>
    <w:uiPriority w:val="9"/>
    <w:qFormat/>
    <w:rsid w:val="007A4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4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4D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4D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4D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4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D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4D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4D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4D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4D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4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DCD"/>
    <w:rPr>
      <w:rFonts w:eastAsiaTheme="majorEastAsia" w:cstheme="majorBidi"/>
      <w:color w:val="272727" w:themeColor="text1" w:themeTint="D8"/>
    </w:rPr>
  </w:style>
  <w:style w:type="paragraph" w:styleId="Title">
    <w:name w:val="Title"/>
    <w:basedOn w:val="Normal"/>
    <w:next w:val="Normal"/>
    <w:link w:val="TitleChar"/>
    <w:uiPriority w:val="10"/>
    <w:qFormat/>
    <w:rsid w:val="007A4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DCD"/>
    <w:pPr>
      <w:spacing w:before="160"/>
      <w:jc w:val="center"/>
    </w:pPr>
    <w:rPr>
      <w:i/>
      <w:iCs/>
      <w:color w:val="404040" w:themeColor="text1" w:themeTint="BF"/>
    </w:rPr>
  </w:style>
  <w:style w:type="character" w:customStyle="1" w:styleId="QuoteChar">
    <w:name w:val="Quote Char"/>
    <w:basedOn w:val="DefaultParagraphFont"/>
    <w:link w:val="Quote"/>
    <w:uiPriority w:val="29"/>
    <w:rsid w:val="007A4DCD"/>
    <w:rPr>
      <w:i/>
      <w:iCs/>
      <w:color w:val="404040" w:themeColor="text1" w:themeTint="BF"/>
    </w:rPr>
  </w:style>
  <w:style w:type="paragraph" w:styleId="ListParagraph">
    <w:name w:val="List Paragraph"/>
    <w:basedOn w:val="Normal"/>
    <w:uiPriority w:val="34"/>
    <w:qFormat/>
    <w:rsid w:val="007A4DCD"/>
    <w:pPr>
      <w:ind w:left="720"/>
      <w:contextualSpacing/>
    </w:pPr>
  </w:style>
  <w:style w:type="character" w:styleId="IntenseEmphasis">
    <w:name w:val="Intense Emphasis"/>
    <w:basedOn w:val="DefaultParagraphFont"/>
    <w:uiPriority w:val="21"/>
    <w:qFormat/>
    <w:rsid w:val="007A4DCD"/>
    <w:rPr>
      <w:i/>
      <w:iCs/>
      <w:color w:val="2F5496" w:themeColor="accent1" w:themeShade="BF"/>
    </w:rPr>
  </w:style>
  <w:style w:type="paragraph" w:styleId="IntenseQuote">
    <w:name w:val="Intense Quote"/>
    <w:basedOn w:val="Normal"/>
    <w:next w:val="Normal"/>
    <w:link w:val="IntenseQuoteChar"/>
    <w:uiPriority w:val="30"/>
    <w:qFormat/>
    <w:rsid w:val="007A4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4DCD"/>
    <w:rPr>
      <w:i/>
      <w:iCs/>
      <w:color w:val="2F5496" w:themeColor="accent1" w:themeShade="BF"/>
    </w:rPr>
  </w:style>
  <w:style w:type="character" w:styleId="IntenseReference">
    <w:name w:val="Intense Reference"/>
    <w:basedOn w:val="DefaultParagraphFont"/>
    <w:uiPriority w:val="32"/>
    <w:qFormat/>
    <w:rsid w:val="007A4DCD"/>
    <w:rPr>
      <w:b/>
      <w:bCs/>
      <w:smallCaps/>
      <w:color w:val="2F5496" w:themeColor="accent1" w:themeShade="BF"/>
      <w:spacing w:val="5"/>
    </w:rPr>
  </w:style>
  <w:style w:type="character" w:styleId="Hyperlink">
    <w:name w:val="Hyperlink"/>
    <w:basedOn w:val="DefaultParagraphFont"/>
    <w:uiPriority w:val="99"/>
    <w:unhideWhenUsed/>
    <w:rsid w:val="007A4DCD"/>
    <w:rPr>
      <w:color w:val="0563C1" w:themeColor="hyperlink"/>
      <w:u w:val="single"/>
    </w:rPr>
  </w:style>
  <w:style w:type="character" w:customStyle="1" w:styleId="UnresolvedMention">
    <w:name w:val="Unresolved Mention"/>
    <w:basedOn w:val="DefaultParagraphFont"/>
    <w:uiPriority w:val="99"/>
    <w:semiHidden/>
    <w:unhideWhenUsed/>
    <w:rsid w:val="007A4DCD"/>
    <w:rPr>
      <w:color w:val="605E5C"/>
      <w:shd w:val="clear" w:color="auto" w:fill="E1DFDD"/>
    </w:rPr>
  </w:style>
  <w:style w:type="paragraph" w:styleId="Header">
    <w:name w:val="header"/>
    <w:basedOn w:val="Normal"/>
    <w:link w:val="HeaderChar"/>
    <w:uiPriority w:val="99"/>
    <w:semiHidden/>
    <w:unhideWhenUsed/>
    <w:rsid w:val="001E36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366A"/>
  </w:style>
  <w:style w:type="paragraph" w:styleId="Footer">
    <w:name w:val="footer"/>
    <w:basedOn w:val="Normal"/>
    <w:link w:val="FooterChar"/>
    <w:uiPriority w:val="99"/>
    <w:unhideWhenUsed/>
    <w:rsid w:val="001E3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66A"/>
  </w:style>
  <w:style w:type="paragraph" w:styleId="BalloonText">
    <w:name w:val="Balloon Text"/>
    <w:basedOn w:val="Normal"/>
    <w:link w:val="BalloonTextChar"/>
    <w:uiPriority w:val="99"/>
    <w:semiHidden/>
    <w:unhideWhenUsed/>
    <w:rsid w:val="001E3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6A"/>
    <w:rPr>
      <w:rFonts w:ascii="Tahoma" w:hAnsi="Tahoma" w:cs="Tahoma"/>
      <w:sz w:val="16"/>
      <w:szCs w:val="16"/>
    </w:rPr>
  </w:style>
  <w:style w:type="paragraph" w:styleId="NoSpacing">
    <w:name w:val="No Spacing"/>
    <w:uiPriority w:val="1"/>
    <w:qFormat/>
    <w:rsid w:val="001E366A"/>
    <w:pPr>
      <w:spacing w:after="0" w:line="240" w:lineRule="auto"/>
    </w:pPr>
    <w:rPr>
      <w:rFonts w:ascii="Calibri" w:eastAsia="Times New Roman" w:hAnsi="Calibri" w:cs="Mangal"/>
      <w:kern w:val="0"/>
      <w:szCs w:val="20"/>
      <w:lang w:val="en-US" w:bidi="hi-IN"/>
    </w:rPr>
  </w:style>
</w:styles>
</file>

<file path=word/webSettings.xml><?xml version="1.0" encoding="utf-8"?>
<w:webSettings xmlns:r="http://schemas.openxmlformats.org/officeDocument/2006/relationships" xmlns:w="http://schemas.openxmlformats.org/wordprocessingml/2006/main">
  <w:divs>
    <w:div w:id="32655638">
      <w:bodyDiv w:val="1"/>
      <w:marLeft w:val="0"/>
      <w:marRight w:val="0"/>
      <w:marTop w:val="0"/>
      <w:marBottom w:val="0"/>
      <w:divBdr>
        <w:top w:val="none" w:sz="0" w:space="0" w:color="auto"/>
        <w:left w:val="none" w:sz="0" w:space="0" w:color="auto"/>
        <w:bottom w:val="none" w:sz="0" w:space="0" w:color="auto"/>
        <w:right w:val="none" w:sz="0" w:space="0" w:color="auto"/>
      </w:divBdr>
    </w:div>
    <w:div w:id="338586984">
      <w:bodyDiv w:val="1"/>
      <w:marLeft w:val="0"/>
      <w:marRight w:val="0"/>
      <w:marTop w:val="0"/>
      <w:marBottom w:val="0"/>
      <w:divBdr>
        <w:top w:val="none" w:sz="0" w:space="0" w:color="auto"/>
        <w:left w:val="none" w:sz="0" w:space="0" w:color="auto"/>
        <w:bottom w:val="none" w:sz="0" w:space="0" w:color="auto"/>
        <w:right w:val="none" w:sz="0" w:space="0" w:color="auto"/>
      </w:divBdr>
    </w:div>
    <w:div w:id="456528449">
      <w:bodyDiv w:val="1"/>
      <w:marLeft w:val="0"/>
      <w:marRight w:val="0"/>
      <w:marTop w:val="0"/>
      <w:marBottom w:val="0"/>
      <w:divBdr>
        <w:top w:val="none" w:sz="0" w:space="0" w:color="auto"/>
        <w:left w:val="none" w:sz="0" w:space="0" w:color="auto"/>
        <w:bottom w:val="none" w:sz="0" w:space="0" w:color="auto"/>
        <w:right w:val="none" w:sz="0" w:space="0" w:color="auto"/>
      </w:divBdr>
    </w:div>
    <w:div w:id="744912420">
      <w:bodyDiv w:val="1"/>
      <w:marLeft w:val="0"/>
      <w:marRight w:val="0"/>
      <w:marTop w:val="0"/>
      <w:marBottom w:val="0"/>
      <w:divBdr>
        <w:top w:val="none" w:sz="0" w:space="0" w:color="auto"/>
        <w:left w:val="none" w:sz="0" w:space="0" w:color="auto"/>
        <w:bottom w:val="none" w:sz="0" w:space="0" w:color="auto"/>
        <w:right w:val="none" w:sz="0" w:space="0" w:color="auto"/>
      </w:divBdr>
    </w:div>
    <w:div w:id="881746954">
      <w:bodyDiv w:val="1"/>
      <w:marLeft w:val="0"/>
      <w:marRight w:val="0"/>
      <w:marTop w:val="0"/>
      <w:marBottom w:val="0"/>
      <w:divBdr>
        <w:top w:val="none" w:sz="0" w:space="0" w:color="auto"/>
        <w:left w:val="none" w:sz="0" w:space="0" w:color="auto"/>
        <w:bottom w:val="none" w:sz="0" w:space="0" w:color="auto"/>
        <w:right w:val="none" w:sz="0" w:space="0" w:color="auto"/>
      </w:divBdr>
    </w:div>
    <w:div w:id="970860907">
      <w:bodyDiv w:val="1"/>
      <w:marLeft w:val="0"/>
      <w:marRight w:val="0"/>
      <w:marTop w:val="0"/>
      <w:marBottom w:val="0"/>
      <w:divBdr>
        <w:top w:val="none" w:sz="0" w:space="0" w:color="auto"/>
        <w:left w:val="none" w:sz="0" w:space="0" w:color="auto"/>
        <w:bottom w:val="none" w:sz="0" w:space="0" w:color="auto"/>
        <w:right w:val="none" w:sz="0" w:space="0" w:color="auto"/>
      </w:divBdr>
    </w:div>
    <w:div w:id="1405106064">
      <w:bodyDiv w:val="1"/>
      <w:marLeft w:val="0"/>
      <w:marRight w:val="0"/>
      <w:marTop w:val="0"/>
      <w:marBottom w:val="0"/>
      <w:divBdr>
        <w:top w:val="none" w:sz="0" w:space="0" w:color="auto"/>
        <w:left w:val="none" w:sz="0" w:space="0" w:color="auto"/>
        <w:bottom w:val="none" w:sz="0" w:space="0" w:color="auto"/>
        <w:right w:val="none" w:sz="0" w:space="0" w:color="auto"/>
      </w:divBdr>
    </w:div>
    <w:div w:id="1455248457">
      <w:bodyDiv w:val="1"/>
      <w:marLeft w:val="0"/>
      <w:marRight w:val="0"/>
      <w:marTop w:val="0"/>
      <w:marBottom w:val="0"/>
      <w:divBdr>
        <w:top w:val="none" w:sz="0" w:space="0" w:color="auto"/>
        <w:left w:val="none" w:sz="0" w:space="0" w:color="auto"/>
        <w:bottom w:val="none" w:sz="0" w:space="0" w:color="auto"/>
        <w:right w:val="none" w:sz="0" w:space="0" w:color="auto"/>
      </w:divBdr>
    </w:div>
    <w:div w:id="1723943498">
      <w:bodyDiv w:val="1"/>
      <w:marLeft w:val="0"/>
      <w:marRight w:val="0"/>
      <w:marTop w:val="0"/>
      <w:marBottom w:val="0"/>
      <w:divBdr>
        <w:top w:val="none" w:sz="0" w:space="0" w:color="auto"/>
        <w:left w:val="none" w:sz="0" w:space="0" w:color="auto"/>
        <w:bottom w:val="none" w:sz="0" w:space="0" w:color="auto"/>
        <w:right w:val="none" w:sz="0" w:space="0" w:color="auto"/>
      </w:divBdr>
    </w:div>
    <w:div w:id="176988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Neeruchanchal.8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5908</Words>
  <Characters>33680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Neeru Chanchal</dc:creator>
  <cp:lastModifiedBy>admin</cp:lastModifiedBy>
  <cp:revision>6</cp:revision>
  <dcterms:created xsi:type="dcterms:W3CDTF">2025-07-03T16:44:00Z</dcterms:created>
  <dcterms:modified xsi:type="dcterms:W3CDTF">2025-07-03T16:53:00Z</dcterms:modified>
</cp:coreProperties>
</file>